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41CD4C0C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</w:t>
      </w:r>
      <w:r w:rsidR="00A71D1D">
        <w:rPr>
          <w:rStyle w:val="FootnoteReference"/>
          <w:rFonts w:eastAsia="Calibri" w:cs="Arial"/>
          <w:sz w:val="20"/>
          <w:szCs w:val="20"/>
          <w:lang w:val="ro-RO"/>
        </w:rPr>
        <w:footnoteReference w:id="1"/>
      </w:r>
      <w:r w:rsidRPr="0022030E">
        <w:rPr>
          <w:rFonts w:eastAsia="Calibri" w:cs="Arial"/>
          <w:sz w:val="20"/>
          <w:szCs w:val="20"/>
          <w:lang w:val="ro-RO"/>
        </w:rPr>
        <w:t xml:space="preserve">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1578FFD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</w:t>
            </w:r>
            <w:r w:rsidR="009601F4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6</w:t>
            </w: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: </w:t>
            </w:r>
          </w:p>
        </w:tc>
        <w:tc>
          <w:tcPr>
            <w:tcW w:w="7797" w:type="dxa"/>
            <w:shd w:val="clear" w:color="auto" w:fill="auto"/>
          </w:tcPr>
          <w:p w14:paraId="45C7AE0A" w14:textId="25B5C333" w:rsidR="00893A22" w:rsidRPr="00823AA5" w:rsidRDefault="009601F4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sz w:val="20"/>
                <w:szCs w:val="20"/>
                <w:lang w:val="it-IT"/>
              </w:rPr>
            </w:pPr>
            <w:proofErr w:type="spellStart"/>
            <w:r w:rsidRPr="00823AA5">
              <w:rPr>
                <w:rFonts w:cstheme="minorHAnsi"/>
                <w:sz w:val="20"/>
                <w:szCs w:val="20"/>
              </w:rPr>
              <w:t>Educatie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moderna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incluziva</w:t>
            </w:r>
            <w:proofErr w:type="spellEnd"/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065322A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Obiectiv specific </w:t>
            </w:r>
            <w:r w:rsidR="009601F4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4.2</w:t>
            </w:r>
          </w:p>
        </w:tc>
        <w:tc>
          <w:tcPr>
            <w:tcW w:w="7797" w:type="dxa"/>
            <w:shd w:val="clear" w:color="auto" w:fill="auto"/>
          </w:tcPr>
          <w:p w14:paraId="696801FF" w14:textId="6E730A49" w:rsidR="00893A22" w:rsidRPr="00823AA5" w:rsidRDefault="00A71D1D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sz w:val="20"/>
                <w:szCs w:val="20"/>
                <w:lang w:val="it-IT"/>
              </w:rPr>
            </w:pPr>
            <w:r w:rsidRPr="00A71D1D">
              <w:rPr>
                <w:rFonts w:cstheme="minorHAnsi"/>
                <w:sz w:val="20"/>
                <w:szCs w:val="20"/>
              </w:rPr>
              <w:t xml:space="preserve">RSO4.2.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accesului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servicii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favorabile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incluziunii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calitate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educație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formare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învățare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pe tot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parcursul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vieții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dezvoltarea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accesibile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promovarea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rezilienței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educația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formarea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distanță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71D1D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A71D1D">
              <w:rPr>
                <w:rFonts w:cstheme="minorHAnsi"/>
                <w:sz w:val="20"/>
                <w:szCs w:val="20"/>
              </w:rPr>
              <w:t xml:space="preserve"> online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371178AF" w:rsidR="00893A22" w:rsidRPr="00823AA5" w:rsidRDefault="009601F4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sz w:val="20"/>
                <w:szCs w:val="20"/>
                <w:lang w:val="it-IT"/>
              </w:rPr>
            </w:pPr>
            <w:proofErr w:type="spellStart"/>
            <w:r w:rsidRPr="00823AA5">
              <w:rPr>
                <w:rFonts w:cstheme="minorHAnsi"/>
                <w:sz w:val="20"/>
                <w:szCs w:val="20"/>
              </w:rPr>
              <w:t>Investiții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dezvoltarea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educaționale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învățământ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terțiar</w:t>
            </w:r>
            <w:proofErr w:type="spellEnd"/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6B84812D" w:rsidR="00893A22" w:rsidRPr="00823AA5" w:rsidRDefault="009601F4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sz w:val="20"/>
                <w:szCs w:val="20"/>
                <w:lang w:val="it-IT"/>
              </w:rPr>
            </w:pPr>
            <w:r w:rsidRPr="00823AA5">
              <w:rPr>
                <w:rFonts w:cstheme="minorHAnsi"/>
                <w:sz w:val="20"/>
                <w:szCs w:val="20"/>
                <w:lang w:val="pt-BR"/>
              </w:rPr>
              <w:t>PR SV/C1/6/4.2/2024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investitii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garantate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Extras de carte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investitii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lastRenderedPageBreak/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2EE95059" w14:textId="77777777" w:rsidR="008623DF" w:rsidRPr="00823AA5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18"/>
                <w:szCs w:val="18"/>
                <w:lang w:val="ro-RO"/>
              </w:rPr>
            </w:pPr>
            <w:r w:rsidRPr="00823AA5">
              <w:rPr>
                <w:rFonts w:eastAsia="Calibri" w:cs="Arial"/>
                <w:sz w:val="18"/>
                <w:szCs w:val="18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823AA5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18"/>
                <w:szCs w:val="18"/>
                <w:lang w:val="ro-RO"/>
              </w:rPr>
            </w:pPr>
            <w:r w:rsidRPr="00823AA5">
              <w:rPr>
                <w:rFonts w:eastAsia="Calibri" w:cs="Times New Roman"/>
                <w:sz w:val="18"/>
                <w:szCs w:val="18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823AA5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18"/>
                <w:szCs w:val="18"/>
                <w:lang w:val="ro-RO"/>
              </w:rPr>
            </w:pPr>
            <w:r w:rsidRPr="00823AA5">
              <w:rPr>
                <w:rFonts w:eastAsia="Calibri" w:cs="Times New Roman"/>
                <w:sz w:val="18"/>
                <w:szCs w:val="18"/>
                <w:lang w:val="ro-RO"/>
              </w:rPr>
              <w:t>-</w:t>
            </w:r>
            <w:r w:rsidRPr="00823AA5">
              <w:rPr>
                <w:rFonts w:eastAsia="Calibri" w:cs="Times New Roman"/>
                <w:sz w:val="18"/>
                <w:szCs w:val="18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823AA5">
              <w:rPr>
                <w:rFonts w:eastAsia="Calibri" w:cs="Times New Roman"/>
                <w:sz w:val="18"/>
                <w:szCs w:val="18"/>
                <w:lang w:val="ro-RO"/>
              </w:rPr>
              <w:t xml:space="preserve">ătoare din bugetul proiectului </w:t>
            </w:r>
            <w:r w:rsidRPr="00823AA5">
              <w:rPr>
                <w:rFonts w:eastAsia="Calibri" w:cs="Times New Roman"/>
                <w:sz w:val="18"/>
                <w:szCs w:val="18"/>
                <w:lang w:val="ro-RO"/>
              </w:rPr>
              <w:t xml:space="preserve">SAU </w:t>
            </w:r>
          </w:p>
          <w:p w14:paraId="4357259C" w14:textId="77777777" w:rsidR="008623DF" w:rsidRPr="00823AA5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18"/>
                <w:szCs w:val="18"/>
                <w:lang w:val="ro-RO"/>
              </w:rPr>
            </w:pPr>
            <w:r w:rsidRPr="00823AA5">
              <w:rPr>
                <w:rFonts w:eastAsia="Calibri" w:cs="Times New Roman"/>
                <w:sz w:val="18"/>
                <w:szCs w:val="18"/>
                <w:lang w:val="ro-RO"/>
              </w:rPr>
              <w:t>-</w:t>
            </w:r>
            <w:r w:rsidRPr="00823AA5">
              <w:rPr>
                <w:rFonts w:eastAsia="Calibri" w:cs="Times New Roman"/>
                <w:sz w:val="18"/>
                <w:szCs w:val="18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823AA5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5D3D1740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</w:t>
            </w:r>
            <w:r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6</w:t>
            </w: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: </w:t>
            </w:r>
          </w:p>
        </w:tc>
        <w:tc>
          <w:tcPr>
            <w:tcW w:w="7797" w:type="dxa"/>
            <w:shd w:val="clear" w:color="auto" w:fill="auto"/>
          </w:tcPr>
          <w:p w14:paraId="54410C6E" w14:textId="3EEC8028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823AA5">
              <w:rPr>
                <w:rFonts w:cstheme="minorHAnsi"/>
                <w:sz w:val="20"/>
                <w:szCs w:val="20"/>
              </w:rPr>
              <w:t>Educatie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moderna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incluziva</w:t>
            </w:r>
            <w:proofErr w:type="spellEnd"/>
          </w:p>
        </w:tc>
      </w:tr>
      <w:tr w:rsidR="00823AA5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3FC0DFD9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4.2</w:t>
            </w:r>
          </w:p>
        </w:tc>
        <w:tc>
          <w:tcPr>
            <w:tcW w:w="7797" w:type="dxa"/>
            <w:shd w:val="clear" w:color="auto" w:fill="auto"/>
          </w:tcPr>
          <w:p w14:paraId="6A4A7E9B" w14:textId="5B9BCC90" w:rsidR="00823AA5" w:rsidRPr="0022030E" w:rsidRDefault="00212067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12067">
              <w:rPr>
                <w:rFonts w:cstheme="minorHAnsi"/>
                <w:sz w:val="20"/>
                <w:szCs w:val="20"/>
              </w:rPr>
              <w:t xml:space="preserve">RSO4.2.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accesului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servicii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favorabile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incluziunii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calitate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educație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formare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învățare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pe tot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parcursul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vieții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dezvoltarea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accesibile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promovarea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rezilienței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educația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formarea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distanță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online</w:t>
            </w:r>
          </w:p>
        </w:tc>
      </w:tr>
      <w:tr w:rsidR="00823AA5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1CF1575F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467DD76E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823AA5">
              <w:rPr>
                <w:rFonts w:cstheme="minorHAnsi"/>
                <w:sz w:val="20"/>
                <w:szCs w:val="20"/>
              </w:rPr>
              <w:t>Investiții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dezvoltarea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educaționale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învățământ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terțiar</w:t>
            </w:r>
            <w:proofErr w:type="spellEnd"/>
          </w:p>
        </w:tc>
      </w:tr>
      <w:tr w:rsidR="00823AA5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AB4E63A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26E4D6E8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823AA5">
              <w:rPr>
                <w:rFonts w:cstheme="minorHAnsi"/>
                <w:sz w:val="20"/>
                <w:szCs w:val="20"/>
                <w:lang w:val="pt-BR"/>
              </w:rPr>
              <w:t>PR SV/C1/6/4.2/2024</w:t>
            </w:r>
          </w:p>
        </w:tc>
      </w:tr>
      <w:tr w:rsidR="00823AA5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30A19846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23AA5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4BED8EC0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23AA5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16F1E225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investitii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23AA5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6F5915E9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</w:t>
            </w:r>
            <w:r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6</w:t>
            </w: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: </w:t>
            </w:r>
          </w:p>
        </w:tc>
        <w:tc>
          <w:tcPr>
            <w:tcW w:w="7797" w:type="dxa"/>
            <w:shd w:val="clear" w:color="auto" w:fill="auto"/>
          </w:tcPr>
          <w:p w14:paraId="1D503CB2" w14:textId="705D0846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823AA5">
              <w:rPr>
                <w:rFonts w:cstheme="minorHAnsi"/>
                <w:sz w:val="20"/>
                <w:szCs w:val="20"/>
              </w:rPr>
              <w:t>Educatie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moderna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si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incluziva</w:t>
            </w:r>
            <w:proofErr w:type="spellEnd"/>
          </w:p>
        </w:tc>
      </w:tr>
      <w:tr w:rsidR="00823AA5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4B0A1965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4.2</w:t>
            </w:r>
          </w:p>
        </w:tc>
        <w:tc>
          <w:tcPr>
            <w:tcW w:w="7797" w:type="dxa"/>
            <w:shd w:val="clear" w:color="auto" w:fill="auto"/>
          </w:tcPr>
          <w:p w14:paraId="400A0EE6" w14:textId="23B4E4C1" w:rsidR="00823AA5" w:rsidRPr="0022030E" w:rsidRDefault="00212067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12067">
              <w:rPr>
                <w:rFonts w:cstheme="minorHAnsi"/>
                <w:sz w:val="20"/>
                <w:szCs w:val="20"/>
              </w:rPr>
              <w:t xml:space="preserve">RSO4.2.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Îmbunătățirea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accesului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servicii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favorabile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incluziunii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de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calitate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educație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formare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învățare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pe tot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parcursul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vieții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dezvoltarea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accesibile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inclusiv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prin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promovarea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rezilienței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educația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formarea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la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distanță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12067">
              <w:rPr>
                <w:rFonts w:cstheme="minorHAnsi"/>
                <w:sz w:val="20"/>
                <w:szCs w:val="20"/>
              </w:rPr>
              <w:t>și</w:t>
            </w:r>
            <w:proofErr w:type="spellEnd"/>
            <w:r w:rsidRPr="00212067">
              <w:rPr>
                <w:rFonts w:cstheme="minorHAnsi"/>
                <w:sz w:val="20"/>
                <w:szCs w:val="20"/>
              </w:rPr>
              <w:t xml:space="preserve"> online</w:t>
            </w:r>
          </w:p>
        </w:tc>
      </w:tr>
      <w:tr w:rsidR="00823AA5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21EB423F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B75C161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823AA5">
              <w:rPr>
                <w:rFonts w:cstheme="minorHAnsi"/>
                <w:sz w:val="20"/>
                <w:szCs w:val="20"/>
              </w:rPr>
              <w:t>Investiții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în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dezvoltarea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infrastructurii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educaționale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pentru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învățământ</w:t>
            </w:r>
            <w:proofErr w:type="spellEnd"/>
            <w:r w:rsidRPr="00823AA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23AA5">
              <w:rPr>
                <w:rFonts w:cstheme="minorHAnsi"/>
                <w:sz w:val="20"/>
                <w:szCs w:val="20"/>
              </w:rPr>
              <w:t>terțiar</w:t>
            </w:r>
            <w:proofErr w:type="spellEnd"/>
          </w:p>
        </w:tc>
      </w:tr>
      <w:tr w:rsidR="00823AA5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324D34F3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12288594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823AA5">
              <w:rPr>
                <w:rFonts w:cstheme="minorHAnsi"/>
                <w:sz w:val="20"/>
                <w:szCs w:val="20"/>
                <w:lang w:val="pt-BR"/>
              </w:rPr>
              <w:t>PR SV/C1/6/4.2/2024</w:t>
            </w:r>
          </w:p>
        </w:tc>
      </w:tr>
      <w:tr w:rsidR="00823AA5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0D4B6DA0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23AA5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5F292D56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23AA5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1EA8A0" w:rsidR="00823AA5" w:rsidRPr="0022030E" w:rsidRDefault="00823AA5" w:rsidP="00823AA5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823AA5" w:rsidRPr="0022030E" w:rsidRDefault="00823AA5" w:rsidP="00823AA5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adaugate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DALI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prevazut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investitii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Informatii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geotehnic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infrastructurii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reglementărilor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vigoare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Destinaţia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daca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importanţă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cod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an/ani/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perioade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fiecare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corp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desfăşurată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inventar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natura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subansamblurilor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ansamblului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restaurarea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componentelor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artistice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conservare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antropice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valoroase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demolarea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parţială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cu/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fără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modificarea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configuraţiei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dispozitive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antiseismice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răspunsului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seismic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aplica</w:t>
            </w:r>
            <w:proofErr w:type="spellEnd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identificare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alcătuirilor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utilizează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substanţe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nocive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situri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conformării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spaţiale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clădirii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normele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măsurii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aceasta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răspunde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peisagistic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stabilite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tema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proiectare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constructia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amplasare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secţiuni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faţade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sinteză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8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4CAB8" w14:textId="77777777" w:rsidR="00624AB2" w:rsidRDefault="00624AB2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624AB2" w:rsidRDefault="006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B2E0C" w14:textId="77777777" w:rsidR="00624AB2" w:rsidRDefault="00624AB2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624AB2" w:rsidRDefault="00624AB2">
      <w:pPr>
        <w:spacing w:after="0" w:line="240" w:lineRule="auto"/>
      </w:pPr>
      <w:r>
        <w:continuationSeparator/>
      </w:r>
    </w:p>
  </w:footnote>
  <w:footnote w:id="1">
    <w:p w14:paraId="7BEB52AE" w14:textId="7EAA3A0B" w:rsidR="00A71D1D" w:rsidRPr="00A71D1D" w:rsidRDefault="00A71D1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Cu </w:t>
      </w:r>
      <w:proofErr w:type="spellStart"/>
      <w:r>
        <w:rPr>
          <w:lang w:val="en-US"/>
        </w:rPr>
        <w:t>modificarile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completarile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ulterioare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1913A" w14:textId="77777777" w:rsidR="009601F4" w:rsidRPr="009601F4" w:rsidRDefault="009601F4" w:rsidP="009601F4">
    <w:pPr>
      <w:pStyle w:val="Header"/>
      <w:tabs>
        <w:tab w:val="left" w:pos="2730"/>
      </w:tabs>
      <w:rPr>
        <w:rFonts w:cstheme="minorHAnsi"/>
        <w:b/>
        <w:bCs/>
        <w:sz w:val="16"/>
        <w:szCs w:val="16"/>
      </w:rPr>
    </w:pPr>
    <w:proofErr w:type="spellStart"/>
    <w:r w:rsidRPr="009601F4">
      <w:rPr>
        <w:rFonts w:cstheme="minorHAnsi"/>
        <w:b/>
        <w:bCs/>
        <w:sz w:val="16"/>
        <w:szCs w:val="16"/>
      </w:rPr>
      <w:t>Programul</w:t>
    </w:r>
    <w:proofErr w:type="spellEnd"/>
    <w:r w:rsidRPr="009601F4">
      <w:rPr>
        <w:rFonts w:cstheme="minorHAnsi"/>
        <w:b/>
        <w:bCs/>
        <w:sz w:val="16"/>
        <w:szCs w:val="16"/>
      </w:rPr>
      <w:t xml:space="preserve"> Regional Sud-Vest </w:t>
    </w:r>
    <w:proofErr w:type="spellStart"/>
    <w:r w:rsidRPr="009601F4">
      <w:rPr>
        <w:rFonts w:cstheme="minorHAnsi"/>
        <w:b/>
        <w:bCs/>
        <w:sz w:val="16"/>
        <w:szCs w:val="16"/>
      </w:rPr>
      <w:t>Oltenia</w:t>
    </w:r>
    <w:proofErr w:type="spellEnd"/>
    <w:r w:rsidRPr="009601F4">
      <w:rPr>
        <w:rFonts w:cstheme="minorHAnsi"/>
        <w:b/>
        <w:bCs/>
        <w:sz w:val="16"/>
        <w:szCs w:val="16"/>
      </w:rPr>
      <w:t xml:space="preserve"> 2021-2027</w:t>
    </w:r>
  </w:p>
  <w:p w14:paraId="672D39EE" w14:textId="77777777" w:rsidR="009601F4" w:rsidRPr="009601F4" w:rsidRDefault="009601F4" w:rsidP="009601F4">
    <w:pPr>
      <w:pStyle w:val="Header"/>
      <w:tabs>
        <w:tab w:val="left" w:pos="2730"/>
      </w:tabs>
      <w:rPr>
        <w:rFonts w:cstheme="minorHAnsi"/>
        <w:b/>
        <w:bCs/>
        <w:sz w:val="16"/>
        <w:szCs w:val="16"/>
      </w:rPr>
    </w:pPr>
    <w:proofErr w:type="spellStart"/>
    <w:r w:rsidRPr="009601F4">
      <w:rPr>
        <w:rFonts w:cstheme="minorHAnsi"/>
        <w:b/>
        <w:bCs/>
        <w:sz w:val="16"/>
        <w:szCs w:val="16"/>
      </w:rPr>
      <w:t>Prioritatea</w:t>
    </w:r>
    <w:proofErr w:type="spellEnd"/>
    <w:r w:rsidRPr="009601F4">
      <w:rPr>
        <w:rFonts w:cstheme="minorHAnsi"/>
        <w:b/>
        <w:bCs/>
        <w:sz w:val="16"/>
        <w:szCs w:val="16"/>
      </w:rPr>
      <w:t xml:space="preserve"> 6:  </w:t>
    </w:r>
    <w:proofErr w:type="spellStart"/>
    <w:r w:rsidRPr="009601F4">
      <w:rPr>
        <w:rFonts w:cstheme="minorHAnsi"/>
        <w:b/>
        <w:bCs/>
        <w:sz w:val="16"/>
        <w:szCs w:val="16"/>
      </w:rPr>
      <w:t>Educatie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moderna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si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incluziva</w:t>
    </w:r>
    <w:proofErr w:type="spellEnd"/>
  </w:p>
  <w:p w14:paraId="4D1453D3" w14:textId="5AC323A8" w:rsidR="009601F4" w:rsidRPr="009601F4" w:rsidRDefault="009601F4" w:rsidP="009601F4">
    <w:pPr>
      <w:pStyle w:val="Header"/>
      <w:tabs>
        <w:tab w:val="left" w:pos="2730"/>
      </w:tabs>
      <w:rPr>
        <w:rFonts w:cstheme="minorHAnsi"/>
        <w:b/>
        <w:bCs/>
        <w:sz w:val="16"/>
        <w:szCs w:val="16"/>
      </w:rPr>
    </w:pPr>
    <w:proofErr w:type="spellStart"/>
    <w:r w:rsidRPr="009601F4">
      <w:rPr>
        <w:rFonts w:cstheme="minorHAnsi"/>
        <w:b/>
        <w:bCs/>
        <w:sz w:val="16"/>
        <w:szCs w:val="16"/>
      </w:rPr>
      <w:t>Obiectiv</w:t>
    </w:r>
    <w:proofErr w:type="spellEnd"/>
    <w:r w:rsidRPr="009601F4">
      <w:rPr>
        <w:rFonts w:cstheme="minorHAnsi"/>
        <w:b/>
        <w:bCs/>
        <w:sz w:val="16"/>
        <w:szCs w:val="16"/>
      </w:rPr>
      <w:t xml:space="preserve"> specific</w:t>
    </w:r>
    <w:r w:rsidR="00A71D1D" w:rsidRPr="00A71D1D">
      <w:rPr>
        <w:rFonts w:cstheme="minorHAnsi"/>
        <w:b/>
        <w:bCs/>
        <w:sz w:val="16"/>
        <w:szCs w:val="16"/>
      </w:rPr>
      <w:t xml:space="preserve">RSO4.2. </w:t>
    </w:r>
    <w:proofErr w:type="spellStart"/>
    <w:r w:rsidR="00A71D1D" w:rsidRPr="00A71D1D">
      <w:rPr>
        <w:rFonts w:cstheme="minorHAnsi"/>
        <w:b/>
        <w:bCs/>
        <w:sz w:val="16"/>
        <w:szCs w:val="16"/>
      </w:rPr>
      <w:t>Îmbunătățirea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accesului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la </w:t>
    </w:r>
    <w:proofErr w:type="spellStart"/>
    <w:r w:rsidR="00A71D1D" w:rsidRPr="00A71D1D">
      <w:rPr>
        <w:rFonts w:cstheme="minorHAnsi"/>
        <w:b/>
        <w:bCs/>
        <w:sz w:val="16"/>
        <w:szCs w:val="16"/>
      </w:rPr>
      <w:t>servicii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și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favorabile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incluziunii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și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de </w:t>
    </w:r>
    <w:proofErr w:type="spellStart"/>
    <w:r w:rsidR="00A71D1D" w:rsidRPr="00A71D1D">
      <w:rPr>
        <w:rFonts w:cstheme="minorHAnsi"/>
        <w:b/>
        <w:bCs/>
        <w:sz w:val="16"/>
        <w:szCs w:val="16"/>
      </w:rPr>
      <w:t>calitate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în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educație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, </w:t>
    </w:r>
    <w:proofErr w:type="spellStart"/>
    <w:r w:rsidR="00A71D1D" w:rsidRPr="00A71D1D">
      <w:rPr>
        <w:rFonts w:cstheme="minorHAnsi"/>
        <w:b/>
        <w:bCs/>
        <w:sz w:val="16"/>
        <w:szCs w:val="16"/>
      </w:rPr>
      <w:t>formare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și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învățare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pe tot </w:t>
    </w:r>
    <w:proofErr w:type="spellStart"/>
    <w:r w:rsidR="00A71D1D" w:rsidRPr="00A71D1D">
      <w:rPr>
        <w:rFonts w:cstheme="minorHAnsi"/>
        <w:b/>
        <w:bCs/>
        <w:sz w:val="16"/>
        <w:szCs w:val="16"/>
      </w:rPr>
      <w:t>parcursul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vieții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prin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dezvoltarea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infrastructurii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accesibile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, </w:t>
    </w:r>
    <w:proofErr w:type="spellStart"/>
    <w:r w:rsidR="00A71D1D" w:rsidRPr="00A71D1D">
      <w:rPr>
        <w:rFonts w:cstheme="minorHAnsi"/>
        <w:b/>
        <w:bCs/>
        <w:sz w:val="16"/>
        <w:szCs w:val="16"/>
      </w:rPr>
      <w:t>inclusiv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prin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promovarea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rezilienței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pentru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educația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și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formarea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la </w:t>
    </w:r>
    <w:proofErr w:type="spellStart"/>
    <w:r w:rsidR="00A71D1D" w:rsidRPr="00A71D1D">
      <w:rPr>
        <w:rFonts w:cstheme="minorHAnsi"/>
        <w:b/>
        <w:bCs/>
        <w:sz w:val="16"/>
        <w:szCs w:val="16"/>
      </w:rPr>
      <w:t>distanță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</w:t>
    </w:r>
    <w:proofErr w:type="spellStart"/>
    <w:r w:rsidR="00A71D1D" w:rsidRPr="00A71D1D">
      <w:rPr>
        <w:rFonts w:cstheme="minorHAnsi"/>
        <w:b/>
        <w:bCs/>
        <w:sz w:val="16"/>
        <w:szCs w:val="16"/>
      </w:rPr>
      <w:t>și</w:t>
    </w:r>
    <w:proofErr w:type="spellEnd"/>
    <w:r w:rsidR="00A71D1D" w:rsidRPr="00A71D1D">
      <w:rPr>
        <w:rFonts w:cstheme="minorHAnsi"/>
        <w:b/>
        <w:bCs/>
        <w:sz w:val="16"/>
        <w:szCs w:val="16"/>
      </w:rPr>
      <w:t xml:space="preserve"> online</w:t>
    </w:r>
  </w:p>
  <w:p w14:paraId="1FE0A2DE" w14:textId="77777777" w:rsidR="009601F4" w:rsidRPr="009601F4" w:rsidRDefault="009601F4" w:rsidP="009601F4">
    <w:pPr>
      <w:pStyle w:val="Header"/>
      <w:tabs>
        <w:tab w:val="left" w:pos="2730"/>
      </w:tabs>
      <w:rPr>
        <w:rFonts w:cstheme="minorHAnsi"/>
        <w:b/>
        <w:bCs/>
        <w:sz w:val="16"/>
        <w:szCs w:val="16"/>
      </w:rPr>
    </w:pPr>
    <w:proofErr w:type="spellStart"/>
    <w:r w:rsidRPr="009601F4">
      <w:rPr>
        <w:rFonts w:cstheme="minorHAnsi"/>
        <w:b/>
        <w:bCs/>
        <w:sz w:val="16"/>
        <w:szCs w:val="16"/>
      </w:rPr>
      <w:t>Acţiunea</w:t>
    </w:r>
    <w:proofErr w:type="spellEnd"/>
    <w:r w:rsidRPr="009601F4">
      <w:rPr>
        <w:rFonts w:cstheme="minorHAnsi"/>
        <w:b/>
        <w:bCs/>
        <w:sz w:val="16"/>
        <w:szCs w:val="16"/>
      </w:rPr>
      <w:t xml:space="preserve">: </w:t>
    </w:r>
    <w:proofErr w:type="spellStart"/>
    <w:r w:rsidRPr="009601F4">
      <w:rPr>
        <w:rFonts w:cstheme="minorHAnsi"/>
        <w:b/>
        <w:bCs/>
        <w:sz w:val="16"/>
        <w:szCs w:val="16"/>
      </w:rPr>
      <w:t>Investiții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în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dezvoltarea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infrastructurii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educaționale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pentru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învățământ</w:t>
    </w:r>
    <w:proofErr w:type="spellEnd"/>
    <w:r w:rsidRPr="009601F4">
      <w:rPr>
        <w:rFonts w:cstheme="minorHAnsi"/>
        <w:b/>
        <w:bCs/>
        <w:sz w:val="16"/>
        <w:szCs w:val="16"/>
      </w:rPr>
      <w:t xml:space="preserve"> </w:t>
    </w:r>
    <w:proofErr w:type="spellStart"/>
    <w:r w:rsidRPr="009601F4">
      <w:rPr>
        <w:rFonts w:cstheme="minorHAnsi"/>
        <w:b/>
        <w:bCs/>
        <w:sz w:val="16"/>
        <w:szCs w:val="16"/>
      </w:rPr>
      <w:t>terțiar</w:t>
    </w:r>
    <w:proofErr w:type="spellEnd"/>
  </w:p>
  <w:p w14:paraId="39B5C6B9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0C23382C" w:rsidR="00624AB2" w:rsidRPr="00893A22" w:rsidRDefault="00893A22" w:rsidP="009601F4">
    <w:pPr>
      <w:pStyle w:val="Header"/>
      <w:jc w:val="right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                                 </w:t>
    </w:r>
    <w:r w:rsidR="009601F4" w:rsidRPr="0054223C">
      <w:rPr>
        <w:rFonts w:cstheme="minorHAnsi"/>
        <w:b/>
        <w:sz w:val="16"/>
        <w:szCs w:val="16"/>
      </w:rPr>
      <w:t xml:space="preserve">Ghidul </w:t>
    </w:r>
    <w:proofErr w:type="spellStart"/>
    <w:r w:rsidR="009601F4" w:rsidRPr="0054223C">
      <w:rPr>
        <w:rFonts w:cstheme="minorHAnsi"/>
        <w:b/>
        <w:sz w:val="16"/>
        <w:szCs w:val="16"/>
      </w:rPr>
      <w:t>Solicitantului</w:t>
    </w:r>
    <w:proofErr w:type="spellEnd"/>
    <w:r w:rsidR="009601F4" w:rsidRPr="0054223C">
      <w:rPr>
        <w:rFonts w:cstheme="minorHAnsi"/>
        <w:b/>
        <w:sz w:val="16"/>
        <w:szCs w:val="16"/>
      </w:rPr>
      <w:t xml:space="preserve"> - Apel de </w:t>
    </w:r>
    <w:proofErr w:type="spellStart"/>
    <w:r w:rsidR="009601F4" w:rsidRPr="0054223C">
      <w:rPr>
        <w:rFonts w:cstheme="minorHAnsi"/>
        <w:b/>
        <w:sz w:val="16"/>
        <w:szCs w:val="16"/>
      </w:rPr>
      <w:t>proiecte</w:t>
    </w:r>
    <w:proofErr w:type="spellEnd"/>
    <w:r w:rsidR="009601F4" w:rsidRPr="0054223C">
      <w:rPr>
        <w:rFonts w:cstheme="minorHAnsi"/>
        <w:b/>
        <w:sz w:val="16"/>
        <w:szCs w:val="16"/>
      </w:rPr>
      <w:t xml:space="preserve"> nr. </w:t>
    </w:r>
    <w:bookmarkStart w:id="0" w:name="_Hlk166769818"/>
    <w:r w:rsidR="009601F4" w:rsidRPr="009A5927">
      <w:rPr>
        <w:rFonts w:cstheme="minorHAnsi"/>
        <w:b/>
        <w:sz w:val="16"/>
        <w:szCs w:val="16"/>
        <w:lang w:val="pt-BR"/>
      </w:rPr>
      <w:t>PR SV/C1/6/4.2/2024</w:t>
    </w:r>
    <w:bookmarkEnd w:id="0"/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029843">
    <w:abstractNumId w:val="23"/>
  </w:num>
  <w:num w:numId="2" w16cid:durableId="1405762897">
    <w:abstractNumId w:val="10"/>
  </w:num>
  <w:num w:numId="3" w16cid:durableId="1037971382">
    <w:abstractNumId w:val="24"/>
  </w:num>
  <w:num w:numId="4" w16cid:durableId="375549438">
    <w:abstractNumId w:val="11"/>
  </w:num>
  <w:num w:numId="5" w16cid:durableId="265425608">
    <w:abstractNumId w:val="5"/>
  </w:num>
  <w:num w:numId="6" w16cid:durableId="96562386">
    <w:abstractNumId w:val="18"/>
  </w:num>
  <w:num w:numId="7" w16cid:durableId="1880316436">
    <w:abstractNumId w:val="14"/>
  </w:num>
  <w:num w:numId="8" w16cid:durableId="207840309">
    <w:abstractNumId w:val="1"/>
  </w:num>
  <w:num w:numId="9" w16cid:durableId="2031442846">
    <w:abstractNumId w:val="36"/>
  </w:num>
  <w:num w:numId="10" w16cid:durableId="883129430">
    <w:abstractNumId w:val="32"/>
  </w:num>
  <w:num w:numId="11" w16cid:durableId="1142234032">
    <w:abstractNumId w:val="0"/>
  </w:num>
  <w:num w:numId="12" w16cid:durableId="948781610">
    <w:abstractNumId w:val="12"/>
  </w:num>
  <w:num w:numId="13" w16cid:durableId="119763524">
    <w:abstractNumId w:val="34"/>
  </w:num>
  <w:num w:numId="14" w16cid:durableId="47344179">
    <w:abstractNumId w:val="19"/>
  </w:num>
  <w:num w:numId="15" w16cid:durableId="1973244515">
    <w:abstractNumId w:val="33"/>
  </w:num>
  <w:num w:numId="16" w16cid:durableId="663045126">
    <w:abstractNumId w:val="17"/>
  </w:num>
  <w:num w:numId="17" w16cid:durableId="1463692775">
    <w:abstractNumId w:val="2"/>
  </w:num>
  <w:num w:numId="18" w16cid:durableId="1046873282">
    <w:abstractNumId w:val="15"/>
  </w:num>
  <w:num w:numId="19" w16cid:durableId="1867787668">
    <w:abstractNumId w:val="27"/>
  </w:num>
  <w:num w:numId="20" w16cid:durableId="852912306">
    <w:abstractNumId w:val="3"/>
  </w:num>
  <w:num w:numId="21" w16cid:durableId="1582173643">
    <w:abstractNumId w:val="21"/>
  </w:num>
  <w:num w:numId="22" w16cid:durableId="1527984525">
    <w:abstractNumId w:val="4"/>
  </w:num>
  <w:num w:numId="23" w16cid:durableId="253438664">
    <w:abstractNumId w:val="9"/>
  </w:num>
  <w:num w:numId="24" w16cid:durableId="1399403172">
    <w:abstractNumId w:val="16"/>
  </w:num>
  <w:num w:numId="25" w16cid:durableId="2118791391">
    <w:abstractNumId w:val="7"/>
  </w:num>
  <w:num w:numId="26" w16cid:durableId="1704750855">
    <w:abstractNumId w:val="30"/>
  </w:num>
  <w:num w:numId="27" w16cid:durableId="1949971161">
    <w:abstractNumId w:val="31"/>
  </w:num>
  <w:num w:numId="28" w16cid:durableId="936058166">
    <w:abstractNumId w:val="25"/>
  </w:num>
  <w:num w:numId="29" w16cid:durableId="659430054">
    <w:abstractNumId w:val="26"/>
  </w:num>
  <w:num w:numId="30" w16cid:durableId="1692605565">
    <w:abstractNumId w:val="8"/>
  </w:num>
  <w:num w:numId="31" w16cid:durableId="1793789725">
    <w:abstractNumId w:val="29"/>
  </w:num>
  <w:num w:numId="32" w16cid:durableId="650838893">
    <w:abstractNumId w:val="13"/>
  </w:num>
  <w:num w:numId="33" w16cid:durableId="291861139">
    <w:abstractNumId w:val="22"/>
  </w:num>
  <w:num w:numId="34" w16cid:durableId="1665814125">
    <w:abstractNumId w:val="35"/>
  </w:num>
  <w:num w:numId="35" w16cid:durableId="396517861">
    <w:abstractNumId w:val="20"/>
  </w:num>
  <w:num w:numId="36" w16cid:durableId="529684806">
    <w:abstractNumId w:val="28"/>
  </w:num>
  <w:num w:numId="37" w16cid:durableId="1951543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12067"/>
    <w:rsid w:val="0022030E"/>
    <w:rsid w:val="002331DF"/>
    <w:rsid w:val="00256DDD"/>
    <w:rsid w:val="002C03EC"/>
    <w:rsid w:val="00341B6D"/>
    <w:rsid w:val="003D0070"/>
    <w:rsid w:val="003E26DC"/>
    <w:rsid w:val="00435AEC"/>
    <w:rsid w:val="00471548"/>
    <w:rsid w:val="004B3369"/>
    <w:rsid w:val="00513C4A"/>
    <w:rsid w:val="00531E91"/>
    <w:rsid w:val="00555B51"/>
    <w:rsid w:val="00580A0C"/>
    <w:rsid w:val="005857F5"/>
    <w:rsid w:val="00624AB2"/>
    <w:rsid w:val="00667096"/>
    <w:rsid w:val="006C42BB"/>
    <w:rsid w:val="006D4B0F"/>
    <w:rsid w:val="007F2EF2"/>
    <w:rsid w:val="00823AA5"/>
    <w:rsid w:val="008623DF"/>
    <w:rsid w:val="00887C88"/>
    <w:rsid w:val="00893A22"/>
    <w:rsid w:val="008B0335"/>
    <w:rsid w:val="009601F4"/>
    <w:rsid w:val="009A5E6F"/>
    <w:rsid w:val="00A40140"/>
    <w:rsid w:val="00A513D0"/>
    <w:rsid w:val="00A71D1D"/>
    <w:rsid w:val="00B675EA"/>
    <w:rsid w:val="00B90101"/>
    <w:rsid w:val="00C2193C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FF495-7678-4AA3-895D-E8642D00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7481</Words>
  <Characters>42644</Characters>
  <Application>Microsoft Office Word</Application>
  <DocSecurity>0</DocSecurity>
  <Lines>355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Vizitator</cp:lastModifiedBy>
  <cp:revision>6</cp:revision>
  <dcterms:created xsi:type="dcterms:W3CDTF">2024-05-22T06:32:00Z</dcterms:created>
  <dcterms:modified xsi:type="dcterms:W3CDTF">2024-06-05T07:33:00Z</dcterms:modified>
</cp:coreProperties>
</file>