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E52E3" w14:textId="26FDBDBA" w:rsidR="00D75609" w:rsidRPr="00683A31" w:rsidRDefault="00D75609" w:rsidP="00F4276F">
      <w:pPr>
        <w:spacing w:before="60" w:after="0" w:line="240" w:lineRule="auto"/>
        <w:ind w:left="-630" w:firstLine="180"/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683A31">
        <w:rPr>
          <w:rFonts w:cstheme="minorHAnsi"/>
          <w:b/>
          <w:color w:val="002060"/>
          <w:sz w:val="24"/>
          <w:szCs w:val="24"/>
        </w:rPr>
        <w:t xml:space="preserve">Anexa </w:t>
      </w:r>
      <w:r w:rsidR="00E83395" w:rsidRPr="00683A31">
        <w:rPr>
          <w:rFonts w:cstheme="minorHAnsi"/>
          <w:b/>
          <w:color w:val="002060"/>
          <w:sz w:val="24"/>
          <w:szCs w:val="24"/>
        </w:rPr>
        <w:t>2</w:t>
      </w:r>
      <w:r w:rsidR="009741DC" w:rsidRPr="00683A31">
        <w:rPr>
          <w:rFonts w:cstheme="minorHAnsi"/>
          <w:b/>
          <w:color w:val="002060"/>
          <w:sz w:val="24"/>
          <w:szCs w:val="24"/>
        </w:rPr>
        <w:t xml:space="preserve">: </w:t>
      </w:r>
      <w:r w:rsidR="003D1989" w:rsidRPr="00683A31">
        <w:rPr>
          <w:rFonts w:cstheme="minorHAnsi"/>
          <w:b/>
          <w:bCs/>
          <w:color w:val="002060"/>
          <w:sz w:val="24"/>
          <w:szCs w:val="24"/>
        </w:rPr>
        <w:t>Definiții și mod de calcul indicatori</w:t>
      </w:r>
    </w:p>
    <w:p w14:paraId="5E89F220" w14:textId="001035DE" w:rsidR="00D75609" w:rsidRPr="00683A31" w:rsidRDefault="00D75609" w:rsidP="00F4276F">
      <w:pPr>
        <w:pStyle w:val="ListParagraph"/>
        <w:numPr>
          <w:ilvl w:val="0"/>
          <w:numId w:val="2"/>
        </w:numPr>
        <w:spacing w:before="60" w:after="0" w:line="240" w:lineRule="auto"/>
        <w:ind w:left="-142" w:hanging="284"/>
        <w:contextualSpacing w:val="0"/>
        <w:jc w:val="both"/>
        <w:rPr>
          <w:rFonts w:cstheme="minorHAnsi"/>
          <w:b/>
          <w:color w:val="002060"/>
          <w:sz w:val="24"/>
          <w:szCs w:val="24"/>
          <w:lang w:val="ro-RO"/>
        </w:rPr>
      </w:pPr>
      <w:r w:rsidRPr="00683A31">
        <w:rPr>
          <w:rFonts w:cstheme="minorHAnsi"/>
          <w:b/>
          <w:color w:val="002060"/>
          <w:sz w:val="24"/>
          <w:szCs w:val="24"/>
          <w:lang w:val="ro-RO"/>
        </w:rPr>
        <w:t>Definiți</w:t>
      </w:r>
      <w:r w:rsidR="00545FF1" w:rsidRPr="00683A31">
        <w:rPr>
          <w:rFonts w:cstheme="minorHAnsi"/>
          <w:b/>
          <w:color w:val="002060"/>
          <w:sz w:val="24"/>
          <w:szCs w:val="24"/>
          <w:lang w:val="ro-RO"/>
        </w:rPr>
        <w:t>a</w:t>
      </w:r>
      <w:r w:rsidR="00A40BE2" w:rsidRPr="00683A31">
        <w:rPr>
          <w:rFonts w:cstheme="minorHAnsi"/>
          <w:b/>
          <w:color w:val="002060"/>
          <w:sz w:val="24"/>
          <w:szCs w:val="24"/>
          <w:lang w:val="ro-RO"/>
        </w:rPr>
        <w:t xml:space="preserve"> indicatori</w:t>
      </w:r>
      <w:r w:rsidR="00545FF1" w:rsidRPr="00683A31">
        <w:rPr>
          <w:rFonts w:cstheme="minorHAnsi"/>
          <w:b/>
          <w:color w:val="002060"/>
          <w:sz w:val="24"/>
          <w:szCs w:val="24"/>
          <w:lang w:val="ro-RO"/>
        </w:rPr>
        <w:t>lor</w:t>
      </w:r>
      <w:r w:rsidR="00A40BE2" w:rsidRPr="00683A31">
        <w:rPr>
          <w:rFonts w:cstheme="minorHAnsi"/>
          <w:b/>
          <w:color w:val="002060"/>
          <w:sz w:val="24"/>
          <w:szCs w:val="24"/>
          <w:lang w:val="ro-RO"/>
        </w:rPr>
        <w:t xml:space="preserve"> de realizare</w:t>
      </w:r>
    </w:p>
    <w:tbl>
      <w:tblPr>
        <w:tblStyle w:val="TableGrid"/>
        <w:tblW w:w="14690" w:type="dxa"/>
        <w:tblInd w:w="-455" w:type="dxa"/>
        <w:tblLook w:val="04A0" w:firstRow="1" w:lastRow="0" w:firstColumn="1" w:lastColumn="0" w:noHBand="0" w:noVBand="1"/>
      </w:tblPr>
      <w:tblGrid>
        <w:gridCol w:w="1228"/>
        <w:gridCol w:w="2425"/>
        <w:gridCol w:w="1362"/>
        <w:gridCol w:w="1362"/>
        <w:gridCol w:w="8313"/>
      </w:tblGrid>
      <w:tr w:rsidR="00683A31" w:rsidRPr="00683A31" w14:paraId="53C3A067" w14:textId="77777777" w:rsidTr="000E3A54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5" w:type="dxa"/>
            <w:shd w:val="clear" w:color="auto" w:fill="C5E0B3" w:themeFill="accent6" w:themeFillTint="66"/>
          </w:tcPr>
          <w:p w14:paraId="34065FF7" w14:textId="77777777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2CFABC77" w14:textId="4625716D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măsura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39C5B79" w14:textId="43A85CBE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13" w:type="dxa"/>
            <w:shd w:val="clear" w:color="auto" w:fill="C5E0B3" w:themeFill="accent6" w:themeFillTint="66"/>
          </w:tcPr>
          <w:p w14:paraId="2B220918" w14:textId="77777777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683A31" w:rsidRPr="00683A31" w14:paraId="398D8C1C" w14:textId="77777777" w:rsidTr="000E3A54"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448B" w14:textId="0ACEE937" w:rsidR="00C23375" w:rsidRPr="00683A31" w:rsidRDefault="005C777D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01PSO7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1B5B" w14:textId="77777777" w:rsidR="009B66BD" w:rsidRPr="00683A31" w:rsidRDefault="009B66BD" w:rsidP="009B66BD">
            <w:pPr>
              <w:pStyle w:val="ListParagraph"/>
              <w:numPr>
                <w:ilvl w:val="0"/>
                <w:numId w:val="9"/>
              </w:num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Structuri sprijinite, din care: </w:t>
            </w:r>
          </w:p>
          <w:p w14:paraId="57451251" w14:textId="3C9EA59B" w:rsidR="00C23375" w:rsidRPr="00683A31" w:rsidRDefault="009B66BD" w:rsidP="009B66BD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</w:rPr>
              <w:t>- de sănătate publică - din sistemul de transfuzii- din cadrul unităților sanitare publice</w:t>
            </w:r>
          </w:p>
          <w:p w14:paraId="193E38E3" w14:textId="77777777" w:rsidR="009B66BD" w:rsidRPr="00683A31" w:rsidRDefault="009B66BD" w:rsidP="009B66BD">
            <w:pPr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1EA04D4A" w14:textId="77777777" w:rsidR="009B66BD" w:rsidRPr="00683A31" w:rsidRDefault="009B66BD" w:rsidP="009B66BD">
            <w:pPr>
              <w:numPr>
                <w:ilvl w:val="0"/>
                <w:numId w:val="18"/>
              </w:numPr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01PSO7.03 Structuri sprijinite, din cadrul unităților sanitare publice</w:t>
            </w:r>
          </w:p>
          <w:p w14:paraId="5D008ACC" w14:textId="293C3605" w:rsidR="009B66BD" w:rsidRPr="00683A31" w:rsidRDefault="009B66BD" w:rsidP="00EB680F">
            <w:pPr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1362" w:type="dxa"/>
          </w:tcPr>
          <w:p w14:paraId="34B354E5" w14:textId="1A8AF98A" w:rsidR="00C23375" w:rsidRPr="00683A31" w:rsidRDefault="005C777D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structuri</w:t>
            </w:r>
          </w:p>
        </w:tc>
        <w:tc>
          <w:tcPr>
            <w:tcW w:w="1362" w:type="dxa"/>
          </w:tcPr>
          <w:p w14:paraId="758FC4F9" w14:textId="77777777" w:rsidR="00C23375" w:rsidRPr="00683A31" w:rsidRDefault="00C23375" w:rsidP="00F4276F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Regiuni mai puțin dezvoltate </w:t>
            </w:r>
          </w:p>
          <w:p w14:paraId="78D98926" w14:textId="6093DE66" w:rsidR="00C23375" w:rsidRPr="00683A31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13" w:type="dxa"/>
          </w:tcPr>
          <w:p w14:paraId="1E32DB9D" w14:textId="77777777" w:rsidR="00C23375" w:rsidRPr="00683A31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</w:t>
            </w:r>
          </w:p>
          <w:p w14:paraId="6CDFBB75" w14:textId="11383724" w:rsidR="00C23375" w:rsidRPr="00683A31" w:rsidRDefault="005C777D" w:rsidP="00F4276F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Indicatorul măsoară </w:t>
            </w:r>
            <w:r w:rsidR="002F4C08"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numărul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de </w:t>
            </w:r>
            <w:r w:rsid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structuri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sanitare publice sprijinite în cadrul acestei intervenții</w:t>
            </w:r>
          </w:p>
          <w:p w14:paraId="5043848A" w14:textId="77777777" w:rsidR="005C777D" w:rsidRPr="00683A31" w:rsidRDefault="005C777D" w:rsidP="00F4276F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  <w:p w14:paraId="0B6F6A3A" w14:textId="2A67D83F" w:rsidR="00C23375" w:rsidRPr="00683A31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7C6B2446" w14:textId="7FCF80E9" w:rsidR="00C23375" w:rsidRPr="00683A31" w:rsidRDefault="00C23375" w:rsidP="00694FDE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nivel de proiect, ținta indicatorului </w:t>
            </w:r>
            <w:r w:rsidR="005C777D"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01PSO7 </w:t>
            </w:r>
            <w:r w:rsidR="005C777D" w:rsidRPr="00683A31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 xml:space="preserve">Structuri sprijinite, din care: </w:t>
            </w:r>
            <w:r w:rsidR="000D24F3" w:rsidRPr="00683A31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 xml:space="preserve">01PSO7.03 </w:t>
            </w:r>
            <w:r w:rsidR="005C777D" w:rsidRPr="00683A31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>din cadrul unităților sanitare publice</w:t>
            </w:r>
            <w:r w:rsidR="005C777D" w:rsidRPr="00683A31">
              <w:rPr>
                <w:rFonts w:cstheme="minorHAnsi"/>
                <w:i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va fi 1.</w:t>
            </w:r>
            <w:bookmarkStart w:id="0" w:name="_Hlk139990368"/>
          </w:p>
          <w:p w14:paraId="067188E4" w14:textId="77777777" w:rsidR="00C23375" w:rsidRPr="00683A31" w:rsidRDefault="00C23375" w:rsidP="00F4276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bookmarkStart w:id="1" w:name="_Hlk139275941"/>
            <w:bookmarkEnd w:id="0"/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NB </w:t>
            </w:r>
          </w:p>
          <w:p w14:paraId="15843EE0" w14:textId="59679779" w:rsidR="00C23375" w:rsidRPr="00683A31" w:rsidRDefault="00C23375" w:rsidP="00F4276F">
            <w:pPr>
              <w:spacing w:before="60"/>
              <w:ind w:right="120"/>
              <w:jc w:val="both"/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În contextul prezentului apel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nu sunt eligibile proiectele (cererile de finanțare) care vizează în cadrul aceluiași proiect mai multe unități sanitare sau cele</w:t>
            </w:r>
            <w:r w:rsidRPr="00683A31">
              <w:rPr>
                <w:rFonts w:eastAsia="Times New Roman" w:cstheme="minorHAnsi"/>
                <w:color w:val="002060"/>
                <w:sz w:val="24"/>
                <w:szCs w:val="24"/>
                <w:lang w:val="ro-RO" w:eastAsia="ro-RO"/>
              </w:rPr>
              <w:t xml:space="preserve"> prin care se vor depune mai multe cereri de finanțare pentru aceiași unitate sanitară. </w:t>
            </w:r>
          </w:p>
          <w:bookmarkEnd w:id="1"/>
          <w:p w14:paraId="250A5833" w14:textId="77777777" w:rsidR="00C23375" w:rsidRPr="00683A31" w:rsidRDefault="00C23375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021AF36C" w14:textId="0D49FB9F" w:rsidR="00C23375" w:rsidRPr="00683A31" w:rsidRDefault="00C23375" w:rsidP="00694FDE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momentul operaționalizării investiției (PV de recepție care 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atestă faptul că unitatea sanitară poate </w:t>
            </w:r>
            <w:r w:rsidR="0095026F"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furniza servicii folosind infrastructura dotată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)</w:t>
            </w:r>
            <w:r w:rsidR="002F4C08" w:rsidRPr="00683A3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.</w:t>
            </w:r>
          </w:p>
          <w:p w14:paraId="08991FF9" w14:textId="3E9F18C0" w:rsidR="00C23375" w:rsidRPr="00683A31" w:rsidRDefault="00C23375" w:rsidP="00694FDE">
            <w:pPr>
              <w:pStyle w:val="ListParagraph"/>
              <w:numPr>
                <w:ilvl w:val="0"/>
                <w:numId w:val="8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raportarea indicatorului </w:t>
            </w:r>
            <w:r w:rsidR="002F4C08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se realizează numai pentru regiunea mai puțin dezvoltată, în funcție de localizarea unității sanitare publice sprijinite și nu în funcție de localizarea solicitantului/partenerului</w:t>
            </w:r>
            <w:r w:rsidR="00694FDE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;</w:t>
            </w:r>
          </w:p>
          <w:p w14:paraId="756C3E63" w14:textId="77777777" w:rsidR="00694FDE" w:rsidRPr="00683A31" w:rsidRDefault="00694FDE" w:rsidP="00694FDE">
            <w:pPr>
              <w:pStyle w:val="ListParagraph"/>
              <w:numPr>
                <w:ilvl w:val="0"/>
                <w:numId w:val="8"/>
              </w:numPr>
              <w:tabs>
                <w:tab w:val="left" w:pos="7878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indicatorul se raportează la data operaționalizării investiției și anual, în perioada de durabilitate (sustenabilitate).</w:t>
            </w:r>
          </w:p>
          <w:p w14:paraId="6C23EED0" w14:textId="2F56A90C" w:rsidR="00694FDE" w:rsidRPr="00683A31" w:rsidRDefault="00694FDE" w:rsidP="00694FDE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683A31" w:rsidRPr="00683A31" w14:paraId="594EFB31" w14:textId="77777777" w:rsidTr="000E3A54">
        <w:trPr>
          <w:trHeight w:val="5606"/>
        </w:trPr>
        <w:tc>
          <w:tcPr>
            <w:tcW w:w="1228" w:type="dxa"/>
          </w:tcPr>
          <w:p w14:paraId="12ED8296" w14:textId="46128BA2" w:rsidR="002F4C08" w:rsidRPr="00683A31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>01PSO8</w:t>
            </w:r>
          </w:p>
        </w:tc>
        <w:tc>
          <w:tcPr>
            <w:tcW w:w="2425" w:type="dxa"/>
          </w:tcPr>
          <w:p w14:paraId="7F070031" w14:textId="77777777" w:rsidR="009B66BD" w:rsidRPr="00683A31" w:rsidRDefault="009B66BD" w:rsidP="009B66BD">
            <w:pPr>
              <w:spacing w:before="60"/>
              <w:ind w:right="120"/>
              <w:rPr>
                <w:rFonts w:cstheme="minorHAnsi"/>
                <w:color w:val="002060"/>
                <w:sz w:val="24"/>
                <w:szCs w:val="24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</w:rPr>
              <w:t xml:space="preserve">Laboratoare sprijinite; din care: 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it-IT"/>
              </w:rPr>
              <w:t>- laborator național de referință -laboratoare de sănătate publică -laboratoare de microbiologie -alte laboratoare</w:t>
            </w:r>
          </w:p>
          <w:p w14:paraId="58759156" w14:textId="381D1910" w:rsidR="002F4C08" w:rsidRPr="00683A31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6333BE6C" w14:textId="6031AE18" w:rsidR="009B66BD" w:rsidRPr="00683A31" w:rsidRDefault="009B66BD" w:rsidP="00EB680F">
            <w:pPr>
              <w:pStyle w:val="ListParagraph"/>
              <w:numPr>
                <w:ilvl w:val="0"/>
                <w:numId w:val="19"/>
              </w:numPr>
              <w:rPr>
                <w:rFonts w:cstheme="minorHAnsi"/>
                <w:color w:val="002060"/>
                <w:sz w:val="24"/>
                <w:szCs w:val="24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</w:rPr>
              <w:t>01PSO8.0</w:t>
            </w:r>
            <w:r w:rsidR="00683A31">
              <w:rPr>
                <w:rFonts w:cstheme="minorHAnsi"/>
                <w:color w:val="002060"/>
                <w:sz w:val="24"/>
                <w:szCs w:val="24"/>
              </w:rPr>
              <w:t>2</w:t>
            </w:r>
            <w:r w:rsidRPr="00683A31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="00683A31" w:rsidRPr="00683A31">
              <w:rPr>
                <w:rFonts w:cstheme="minorHAnsi"/>
                <w:color w:val="002060"/>
                <w:sz w:val="24"/>
                <w:szCs w:val="24"/>
              </w:rPr>
              <w:t>laboratoare de sănătate publică</w:t>
            </w:r>
          </w:p>
        </w:tc>
        <w:tc>
          <w:tcPr>
            <w:tcW w:w="1362" w:type="dxa"/>
          </w:tcPr>
          <w:p w14:paraId="69DA2050" w14:textId="17E87EB8" w:rsidR="002F4C08" w:rsidRPr="00683A31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1362" w:type="dxa"/>
          </w:tcPr>
          <w:p w14:paraId="1E26539F" w14:textId="5ECC976D" w:rsidR="002F4C08" w:rsidRPr="00683A31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  <w:p w14:paraId="3F62AF23" w14:textId="77777777" w:rsidR="002F4C08" w:rsidRPr="00683A31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531D264D" w14:textId="4D5209FF" w:rsidR="002F4C08" w:rsidRPr="00683A31" w:rsidRDefault="002F4C08" w:rsidP="002F4C08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8313" w:type="dxa"/>
          </w:tcPr>
          <w:p w14:paraId="13320D02" w14:textId="77777777" w:rsidR="002F4C08" w:rsidRPr="00683A31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419A45FF" w14:textId="2D3270E9" w:rsidR="002F4C08" w:rsidRPr="00683A31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Indicatorul măsoară </w:t>
            </w:r>
            <w:r w:rsidR="002B29D7" w:rsidRPr="00683A3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numărul 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de </w:t>
            </w:r>
            <w:r w:rsidR="00683A31" w:rsidRPr="00683A3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 xml:space="preserve">laboratoare de sănătate publică 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sprijinite, din sistemul public.</w:t>
            </w:r>
          </w:p>
          <w:p w14:paraId="450688B1" w14:textId="77777777" w:rsidR="002F4C08" w:rsidRPr="00683A31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  <w:p w14:paraId="34AA9AAB" w14:textId="77777777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</w:t>
            </w:r>
          </w:p>
          <w:p w14:paraId="0FFC5496" w14:textId="3582354D" w:rsidR="00694FDE" w:rsidRPr="00683A31" w:rsidRDefault="00694FDE" w:rsidP="00694FDE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La nivel de proiect, ținta indicatorului 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01PSO</w:t>
            </w:r>
            <w:r w:rsidR="009813FF"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8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 </w:t>
            </w:r>
            <w:r w:rsidR="009813FF" w:rsidRPr="00683A31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 xml:space="preserve">Laboratoare sprijinite; din care: </w:t>
            </w:r>
            <w:r w:rsidR="000D24F3" w:rsidRPr="00683A31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>01PSO8.0</w:t>
            </w:r>
            <w:r w:rsidR="00683A31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>2</w:t>
            </w:r>
            <w:r w:rsidR="000D24F3" w:rsidRPr="00683A31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 xml:space="preserve"> </w:t>
            </w:r>
            <w:r w:rsidR="00683A31" w:rsidRPr="00683A31">
              <w:rPr>
                <w:rFonts w:cstheme="minorHAnsi"/>
                <w:b/>
                <w:bCs/>
                <w:i/>
                <w:iCs/>
                <w:color w:val="002060"/>
                <w:sz w:val="24"/>
                <w:szCs w:val="24"/>
                <w:lang w:val="ro-RO"/>
              </w:rPr>
              <w:t xml:space="preserve">laboratoare de sănătate publică 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va fi </w:t>
            </w:r>
            <w:r w:rsidR="004E2CFF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numărul de laboratoare</w:t>
            </w:r>
            <w:r w:rsidR="00964B3D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="004E2CFF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de </w:t>
            </w:r>
            <w:r w:rsidR="00683A31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sănătate publică </w:t>
            </w:r>
            <w:r w:rsidR="004E2CFF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sprijinite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5933C824" w14:textId="77777777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Raportare</w:t>
            </w:r>
          </w:p>
          <w:p w14:paraId="3291F169" w14:textId="5E8C9BEE" w:rsidR="00694FDE" w:rsidRPr="00683A31" w:rsidRDefault="00694FDE" w:rsidP="00694FDE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se raportează la 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momentul operaționalizării investiției (PV de recepție care atestă faptul că unitatea sanitară poate furniza servicii folosind infrastructura dotată).</w:t>
            </w:r>
          </w:p>
          <w:p w14:paraId="3C9D6718" w14:textId="1B0ED9AC" w:rsidR="002F4C08" w:rsidRPr="00683A31" w:rsidRDefault="00694FDE" w:rsidP="00173DE4">
            <w:pPr>
              <w:pStyle w:val="ListParagraph"/>
              <w:numPr>
                <w:ilvl w:val="0"/>
                <w:numId w:val="8"/>
              </w:numPr>
              <w:tabs>
                <w:tab w:val="left" w:pos="7878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raportarea indicatorului se realizează numai pentru regiunea mai puțin dezvoltată, în funcție de localizarea unității sanitare publice sprijinite și nu în funcție de localizarea solicitantului/partenerului;</w:t>
            </w:r>
          </w:p>
          <w:p w14:paraId="0E25F96A" w14:textId="7C2B665F" w:rsidR="002F4C08" w:rsidRPr="00683A31" w:rsidRDefault="00694FDE" w:rsidP="002F4C08">
            <w:pPr>
              <w:pStyle w:val="ListParagraph"/>
              <w:numPr>
                <w:ilvl w:val="0"/>
                <w:numId w:val="10"/>
              </w:numPr>
              <w:tabs>
                <w:tab w:val="left" w:pos="7878"/>
              </w:tabs>
              <w:spacing w:before="6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i</w:t>
            </w:r>
            <w:r w:rsidR="002F4C08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ndicatorul se raportează la data 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operaționalizării investiției și anual, în perioada de durabilitate (sustenabilitate).</w:t>
            </w:r>
          </w:p>
          <w:p w14:paraId="12A1B330" w14:textId="77777777" w:rsidR="002F4C08" w:rsidRPr="00683A31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760D6E47" w14:textId="77777777" w:rsidR="002F4C08" w:rsidRPr="00683A31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392EF3E2" w14:textId="4F724F07" w:rsidR="002F4C08" w:rsidRPr="00683A31" w:rsidRDefault="002F4C08" w:rsidP="002F4C08">
            <w:pPr>
              <w:tabs>
                <w:tab w:val="left" w:pos="7878"/>
              </w:tabs>
              <w:spacing w:before="6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4F413E6D" w14:textId="77777777" w:rsidR="005E7824" w:rsidRPr="00683A31" w:rsidRDefault="005E7824" w:rsidP="00F4276F">
      <w:pPr>
        <w:spacing w:before="60" w:after="0" w:line="240" w:lineRule="auto"/>
        <w:ind w:right="120"/>
        <w:jc w:val="both"/>
        <w:rPr>
          <w:rFonts w:cstheme="minorHAnsi"/>
          <w:color w:val="002060"/>
          <w:sz w:val="24"/>
          <w:szCs w:val="24"/>
        </w:rPr>
      </w:pPr>
    </w:p>
    <w:p w14:paraId="22583BE3" w14:textId="4C96840E" w:rsidR="00F4276F" w:rsidRPr="00683A31" w:rsidRDefault="00F4276F">
      <w:pPr>
        <w:rPr>
          <w:rFonts w:cstheme="minorHAnsi"/>
          <w:b/>
          <w:color w:val="002060"/>
          <w:sz w:val="24"/>
          <w:szCs w:val="24"/>
        </w:rPr>
      </w:pPr>
      <w:bookmarkStart w:id="2" w:name="_Toc126864174"/>
    </w:p>
    <w:p w14:paraId="361EF061" w14:textId="77777777" w:rsidR="006D3D99" w:rsidRPr="00683A31" w:rsidRDefault="006D3D99">
      <w:pPr>
        <w:rPr>
          <w:rFonts w:cstheme="minorHAnsi"/>
          <w:b/>
          <w:color w:val="002060"/>
          <w:sz w:val="24"/>
          <w:szCs w:val="24"/>
        </w:rPr>
      </w:pPr>
    </w:p>
    <w:p w14:paraId="08F0E383" w14:textId="77777777" w:rsidR="006D3D99" w:rsidRPr="00683A31" w:rsidRDefault="006D3D99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</w:p>
    <w:p w14:paraId="14A9887A" w14:textId="480F2AFC" w:rsidR="00A40BE2" w:rsidRPr="00683A31" w:rsidRDefault="002D51C8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  <w:r w:rsidRPr="00683A31">
        <w:rPr>
          <w:rFonts w:cstheme="minorHAnsi"/>
          <w:b/>
          <w:color w:val="002060"/>
          <w:sz w:val="24"/>
          <w:szCs w:val="24"/>
        </w:rPr>
        <w:t>De</w:t>
      </w:r>
      <w:r w:rsidR="00A40BE2" w:rsidRPr="00683A31">
        <w:rPr>
          <w:rFonts w:cstheme="minorHAnsi"/>
          <w:b/>
          <w:color w:val="002060"/>
          <w:sz w:val="24"/>
          <w:szCs w:val="24"/>
        </w:rPr>
        <w:t>finiți</w:t>
      </w:r>
      <w:r w:rsidR="00545FF1" w:rsidRPr="00683A31">
        <w:rPr>
          <w:rFonts w:cstheme="minorHAnsi"/>
          <w:b/>
          <w:color w:val="002060"/>
          <w:sz w:val="24"/>
          <w:szCs w:val="24"/>
        </w:rPr>
        <w:t>a</w:t>
      </w:r>
      <w:r w:rsidR="00A40BE2" w:rsidRPr="00683A31">
        <w:rPr>
          <w:rFonts w:cstheme="minorHAnsi"/>
          <w:b/>
          <w:color w:val="002060"/>
          <w:sz w:val="24"/>
          <w:szCs w:val="24"/>
        </w:rPr>
        <w:t xml:space="preserve"> indicator</w:t>
      </w:r>
      <w:r w:rsidR="00545FF1" w:rsidRPr="00683A31">
        <w:rPr>
          <w:rFonts w:cstheme="minorHAnsi"/>
          <w:b/>
          <w:color w:val="002060"/>
          <w:sz w:val="24"/>
          <w:szCs w:val="24"/>
        </w:rPr>
        <w:t xml:space="preserve">ului </w:t>
      </w:r>
      <w:r w:rsidR="00A40BE2" w:rsidRPr="00683A31">
        <w:rPr>
          <w:rFonts w:cstheme="minorHAnsi"/>
          <w:b/>
          <w:color w:val="002060"/>
          <w:sz w:val="24"/>
          <w:szCs w:val="24"/>
        </w:rPr>
        <w:t>de rezultat</w:t>
      </w:r>
      <w:bookmarkEnd w:id="2"/>
    </w:p>
    <w:p w14:paraId="6AA7F281" w14:textId="77777777" w:rsidR="006D3D99" w:rsidRPr="00683A31" w:rsidRDefault="006D3D99" w:rsidP="00F4276F">
      <w:pPr>
        <w:spacing w:before="60" w:after="0" w:line="240" w:lineRule="auto"/>
        <w:jc w:val="both"/>
        <w:rPr>
          <w:rFonts w:cstheme="minorHAnsi"/>
          <w:b/>
          <w:color w:val="002060"/>
          <w:sz w:val="24"/>
          <w:szCs w:val="24"/>
        </w:rPr>
      </w:pPr>
    </w:p>
    <w:tbl>
      <w:tblPr>
        <w:tblStyle w:val="TableGrid"/>
        <w:tblW w:w="14705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20"/>
        <w:gridCol w:w="1362"/>
        <w:gridCol w:w="1362"/>
        <w:gridCol w:w="8301"/>
      </w:tblGrid>
      <w:tr w:rsidR="00683A31" w:rsidRPr="00683A31" w14:paraId="18822EB2" w14:textId="77777777" w:rsidTr="000E3A54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46E55FD3" w14:textId="77777777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20" w:type="dxa"/>
            <w:shd w:val="clear" w:color="auto" w:fill="C5E0B3" w:themeFill="accent6" w:themeFillTint="66"/>
          </w:tcPr>
          <w:p w14:paraId="689A01A2" w14:textId="77777777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6B697A32" w14:textId="4D486BA1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773D97D6" w14:textId="52964F35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8301" w:type="dxa"/>
            <w:shd w:val="clear" w:color="auto" w:fill="C5E0B3" w:themeFill="accent6" w:themeFillTint="66"/>
          </w:tcPr>
          <w:p w14:paraId="6CF545C3" w14:textId="77777777" w:rsidR="000E3A54" w:rsidRPr="00683A31" w:rsidRDefault="000E3A54" w:rsidP="00F4276F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683A31" w:rsidRPr="00683A31" w14:paraId="4537DDA7" w14:textId="77777777" w:rsidTr="000E3A54">
        <w:tc>
          <w:tcPr>
            <w:tcW w:w="1260" w:type="dxa"/>
          </w:tcPr>
          <w:p w14:paraId="55462905" w14:textId="3D228A41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01PSR8</w:t>
            </w:r>
          </w:p>
        </w:tc>
        <w:tc>
          <w:tcPr>
            <w:tcW w:w="2420" w:type="dxa"/>
          </w:tcPr>
          <w:p w14:paraId="7FA09428" w14:textId="61EA6144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Număr anual de probe </w:t>
            </w:r>
          </w:p>
        </w:tc>
        <w:tc>
          <w:tcPr>
            <w:tcW w:w="1362" w:type="dxa"/>
          </w:tcPr>
          <w:p w14:paraId="335AC38E" w14:textId="77A25B3F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probe/ an</w:t>
            </w:r>
          </w:p>
        </w:tc>
        <w:tc>
          <w:tcPr>
            <w:tcW w:w="1362" w:type="dxa"/>
          </w:tcPr>
          <w:p w14:paraId="4E60BF96" w14:textId="082361A5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</w:tc>
        <w:tc>
          <w:tcPr>
            <w:tcW w:w="8301" w:type="dxa"/>
          </w:tcPr>
          <w:p w14:paraId="7BDFAB2F" w14:textId="77777777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Definiție:</w:t>
            </w:r>
          </w:p>
          <w:p w14:paraId="25E78ADC" w14:textId="60839AAD" w:rsidR="009813FF" w:rsidRPr="00683A31" w:rsidRDefault="009813FF" w:rsidP="009813F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</w:rPr>
              <w:t xml:space="preserve">Indicatorul masoară numărul anual de probe efectuate in cadrul structurilor sprijinite. Structurile sprijinite relevante pentru acest indicator sunt laboratoarele </w:t>
            </w:r>
            <w:r w:rsidR="00683A31" w:rsidRPr="00683A31">
              <w:rPr>
                <w:rFonts w:cstheme="minorHAnsi"/>
                <w:color w:val="002060"/>
                <w:sz w:val="24"/>
                <w:szCs w:val="24"/>
              </w:rPr>
              <w:t xml:space="preserve">de sănătate publică </w:t>
            </w:r>
            <w:r w:rsidRPr="00683A31">
              <w:rPr>
                <w:rFonts w:cstheme="minorHAnsi"/>
                <w:color w:val="002060"/>
                <w:sz w:val="24"/>
                <w:szCs w:val="24"/>
              </w:rPr>
              <w:t xml:space="preserve">din cadrul </w:t>
            </w:r>
            <w:r w:rsidR="00683A31">
              <w:rPr>
                <w:rFonts w:cstheme="minorHAnsi"/>
                <w:color w:val="002060"/>
                <w:sz w:val="24"/>
                <w:szCs w:val="24"/>
              </w:rPr>
              <w:t>unităților sanitare publice</w:t>
            </w:r>
            <w:r w:rsidR="00A10CA7" w:rsidRPr="00683A31">
              <w:rPr>
                <w:rFonts w:cstheme="minorHAnsi"/>
                <w:color w:val="002060"/>
                <w:sz w:val="24"/>
                <w:szCs w:val="24"/>
              </w:rPr>
              <w:t>.</w:t>
            </w:r>
          </w:p>
          <w:p w14:paraId="23497731" w14:textId="77777777" w:rsidR="009813FF" w:rsidRPr="00683A31" w:rsidRDefault="009813FF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4EB71645" w14:textId="62FEF649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de referință (baseline) se referă la </w:t>
            </w:r>
            <w:r w:rsidR="009813FF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numărul anual de probe efectuate de laborator</w:t>
            </w:r>
            <w:r w:rsidR="00897429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ul</w:t>
            </w:r>
            <w:r w:rsidR="009813FF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microbiologie în anul 2023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.</w:t>
            </w:r>
          </w:p>
          <w:p w14:paraId="0B4C5E13" w14:textId="77777777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</w:p>
          <w:p w14:paraId="4863B8D0" w14:textId="06B93C56" w:rsidR="00694FDE" w:rsidRPr="00683A31" w:rsidRDefault="00694FDE" w:rsidP="00694FDE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color w:val="002060"/>
                <w:sz w:val="24"/>
                <w:szCs w:val="24"/>
                <w:lang w:val="ro-RO"/>
              </w:rPr>
              <w:t>Modalitate de calcul:</w:t>
            </w:r>
          </w:p>
          <w:p w14:paraId="315BC564" w14:textId="77777777" w:rsidR="009813FF" w:rsidRPr="00683A31" w:rsidRDefault="009813FF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5184CCDF" w14:textId="2E91FB25" w:rsidR="009813FF" w:rsidRPr="00683A31" w:rsidRDefault="009813FF" w:rsidP="00694FDE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Indicatorul m</w:t>
            </w:r>
            <w:r w:rsidR="007B4E86" w:rsidRPr="00683A3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ă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soară numărul anual de probe efectuate în cadrul laboratoarelor de </w:t>
            </w:r>
            <w:r w:rsidR="00D47D33" w:rsidRPr="00D47D33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de sănătate publică </w:t>
            </w:r>
            <w:r w:rsidR="00D47D33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sprijinite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 xml:space="preserve"> într-o perioada de 1 an de la data operaționalizării investiției</w:t>
            </w:r>
          </w:p>
          <w:p w14:paraId="6CE71497" w14:textId="77777777" w:rsidR="009813FF" w:rsidRPr="00683A31" w:rsidRDefault="009813FF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606300FC" w14:textId="77777777" w:rsidR="009813FF" w:rsidRPr="00683A31" w:rsidRDefault="009813FF" w:rsidP="009813FF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Modalitatea de calcul se efectuează astfel:</w:t>
            </w:r>
          </w:p>
          <w:p w14:paraId="5129A58D" w14:textId="732BE6FD" w:rsidR="009813FF" w:rsidRPr="00683A31" w:rsidRDefault="009813FF" w:rsidP="009813F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momentul depunerii cererii de finanțare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– estimarea numărului anual de </w:t>
            </w:r>
            <w:r w:rsidR="00221E43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probe care are la bază documentația tehnică a investiției</w:t>
            </w:r>
            <w:r w:rsidR="002608A2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;</w:t>
            </w:r>
          </w:p>
          <w:p w14:paraId="45C1028A" w14:textId="79AE4ECC" w:rsidR="009813FF" w:rsidRPr="00683A31" w:rsidRDefault="009813FF" w:rsidP="009813FF">
            <w:pPr>
              <w:pStyle w:val="ListParagraph"/>
              <w:numPr>
                <w:ilvl w:val="0"/>
                <w:numId w:val="7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La un an de la operaționalizarea investiției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(din momentul în care a fost pusă în utilizare) se va raporta numărul </w:t>
            </w:r>
            <w:r w:rsidRPr="00683A31">
              <w:rPr>
                <w:rFonts w:cstheme="minorHAnsi"/>
                <w:color w:val="002060"/>
                <w:sz w:val="24"/>
                <w:szCs w:val="24"/>
                <w:u w:val="single"/>
                <w:lang w:val="ro-RO"/>
              </w:rPr>
              <w:t>real efectiv anual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de </w:t>
            </w:r>
            <w:r w:rsidR="00221E43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probe efectuate. </w:t>
            </w:r>
          </w:p>
          <w:p w14:paraId="19253AAC" w14:textId="77777777" w:rsidR="009813FF" w:rsidRPr="00683A31" w:rsidRDefault="009813FF" w:rsidP="00694FDE">
            <w:pPr>
              <w:spacing w:before="60"/>
              <w:ind w:right="12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  <w:p w14:paraId="2F1FA32D" w14:textId="6ACDB7CC" w:rsidR="009813FF" w:rsidRPr="00683A31" w:rsidRDefault="00221E43" w:rsidP="00694FDE">
            <w:pPr>
              <w:spacing w:before="60"/>
              <w:ind w:right="12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lang w:val="ro-RO"/>
              </w:rPr>
              <w:t>Raportare</w:t>
            </w:r>
          </w:p>
          <w:p w14:paraId="0224839C" w14:textId="500BB03C" w:rsidR="009D1D2E" w:rsidRPr="00683A31" w:rsidRDefault="009D1D2E" w:rsidP="009D1D2E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lastRenderedPageBreak/>
              <w:t xml:space="preserve">Indicatorul se raportează </w:t>
            </w:r>
            <w:r w:rsidRPr="00683A31">
              <w:rPr>
                <w:rFonts w:cstheme="minorHAnsi"/>
                <w:b/>
                <w:bCs/>
                <w:color w:val="002060"/>
                <w:sz w:val="24"/>
                <w:szCs w:val="24"/>
                <w:u w:val="single"/>
                <w:lang w:val="ro-RO"/>
              </w:rPr>
              <w:t>la 1 an de la momentul operaționalizării investiției;</w:t>
            </w:r>
          </w:p>
          <w:p w14:paraId="45D3C0AA" w14:textId="06B33AD4" w:rsidR="009D1D2E" w:rsidRPr="00683A31" w:rsidRDefault="009D1D2E" w:rsidP="004079F3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Indicatorul permite cumularea probelor </w:t>
            </w:r>
            <w:r w:rsidR="002608A2"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în cazul în care</w:t>
            </w: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 xml:space="preserve"> un pacient a beneficiat de mai multe ori de astfel de servicii în decursul unui an;</w:t>
            </w:r>
          </w:p>
          <w:p w14:paraId="4DD9B6E9" w14:textId="3465F0CD" w:rsidR="009D1D2E" w:rsidRPr="00683A31" w:rsidRDefault="009D1D2E" w:rsidP="004079F3">
            <w:pPr>
              <w:pStyle w:val="ListParagraph"/>
              <w:numPr>
                <w:ilvl w:val="0"/>
                <w:numId w:val="8"/>
              </w:numPr>
              <w:spacing w:before="60" w:after="160" w:line="259" w:lineRule="auto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raportarea indicatorului se realizează numai pentru regiunea mai puțin dezvoltată, în funcție de localizarea unității sanitare publice sprijinite și nu în funcție de localizarea solicitantului/partenerului;</w:t>
            </w:r>
          </w:p>
          <w:p w14:paraId="3205782E" w14:textId="6CB29EFA" w:rsidR="00221E43" w:rsidRPr="00683A31" w:rsidRDefault="009D1D2E" w:rsidP="006F2AE6">
            <w:pPr>
              <w:pStyle w:val="ListParagraph"/>
              <w:numPr>
                <w:ilvl w:val="0"/>
                <w:numId w:val="10"/>
              </w:numPr>
              <w:tabs>
                <w:tab w:val="left" w:pos="7878"/>
              </w:tabs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  <w:r w:rsidRPr="00683A31">
              <w:rPr>
                <w:rFonts w:cstheme="minorHAnsi"/>
                <w:color w:val="002060"/>
                <w:sz w:val="24"/>
                <w:szCs w:val="24"/>
                <w:lang w:val="ro-RO"/>
              </w:rPr>
              <w:t>indicatorul se raportează la 1 an de la data operaționalizării investiției și anual, în perioada de durabilitate (sustenabilitate).</w:t>
            </w:r>
          </w:p>
          <w:p w14:paraId="2F50AE34" w14:textId="327C7FD8" w:rsidR="00694FDE" w:rsidRPr="00683A31" w:rsidRDefault="00694FDE" w:rsidP="00221E43">
            <w:pPr>
              <w:pStyle w:val="ListParagraph"/>
              <w:spacing w:before="60"/>
              <w:ind w:left="360"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0B3F2491" w14:textId="77777777" w:rsidR="005E7824" w:rsidRPr="00683A31" w:rsidRDefault="005E7824" w:rsidP="00F4276F">
      <w:pPr>
        <w:spacing w:before="60" w:after="0" w:line="240" w:lineRule="auto"/>
        <w:jc w:val="both"/>
        <w:rPr>
          <w:rFonts w:cstheme="minorHAnsi"/>
          <w:color w:val="002060"/>
          <w:sz w:val="24"/>
          <w:szCs w:val="24"/>
        </w:rPr>
      </w:pPr>
    </w:p>
    <w:sectPr w:rsidR="005E7824" w:rsidRPr="00683A31" w:rsidSect="009653A3">
      <w:headerReference w:type="default" r:id="rId8"/>
      <w:footerReference w:type="default" r:id="rId9"/>
      <w:pgSz w:w="16838" w:h="11906" w:orient="landscape"/>
      <w:pgMar w:top="72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3DB2F" w14:textId="77777777" w:rsidR="00234E92" w:rsidRDefault="00234E92" w:rsidP="000B36E6">
      <w:pPr>
        <w:spacing w:after="0" w:line="240" w:lineRule="auto"/>
      </w:pPr>
      <w:r>
        <w:separator/>
      </w:r>
    </w:p>
  </w:endnote>
  <w:endnote w:type="continuationSeparator" w:id="0">
    <w:p w14:paraId="2D1D188E" w14:textId="77777777" w:rsidR="00234E92" w:rsidRDefault="00234E92" w:rsidP="000B3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1834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3FA1D" w14:textId="2378314C" w:rsidR="009741DC" w:rsidRDefault="00974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405964" w14:textId="77777777" w:rsidR="009741DC" w:rsidRDefault="00974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0B1F7" w14:textId="77777777" w:rsidR="00234E92" w:rsidRDefault="00234E92" w:rsidP="000B36E6">
      <w:pPr>
        <w:spacing w:after="0" w:line="240" w:lineRule="auto"/>
      </w:pPr>
      <w:r>
        <w:separator/>
      </w:r>
    </w:p>
  </w:footnote>
  <w:footnote w:type="continuationSeparator" w:id="0">
    <w:p w14:paraId="4690F1D0" w14:textId="77777777" w:rsidR="00234E92" w:rsidRDefault="00234E92" w:rsidP="000B3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F99F0" w14:textId="7559E003" w:rsidR="00C40D12" w:rsidRPr="00594AF3" w:rsidRDefault="00C40D12" w:rsidP="00454684">
    <w:pPr>
      <w:spacing w:before="60" w:after="0" w:line="240" w:lineRule="auto"/>
      <w:jc w:val="center"/>
      <w:rPr>
        <w:b/>
        <w:bCs/>
        <w:color w:val="002060"/>
        <w:sz w:val="24"/>
        <w:szCs w:val="24"/>
      </w:rPr>
    </w:pPr>
    <w:bookmarkStart w:id="3" w:name="_Hlk142032642"/>
    <w:r w:rsidRPr="00594AF3">
      <w:rPr>
        <w:b/>
        <w:bCs/>
        <w:color w:val="002060"/>
        <w:sz w:val="24"/>
        <w:szCs w:val="24"/>
      </w:rPr>
      <w:t>Ghidul solicitantului:</w:t>
    </w:r>
    <w:r w:rsidR="00683A31" w:rsidRPr="00683A31">
      <w:rPr>
        <w:b/>
        <w:bCs/>
        <w:color w:val="002060"/>
        <w:sz w:val="24"/>
        <w:szCs w:val="24"/>
      </w:rPr>
      <w:t xml:space="preserve"> Investiții în infrastructura publică a laboratoarelor regionale de sănătate publică  din centrele regionale de sănătate publică din cadrul Institutului Național de Sănătate Publică</w:t>
    </w:r>
  </w:p>
  <w:bookmarkEnd w:id="3"/>
  <w:p w14:paraId="52AF0F3E" w14:textId="1BB1965F" w:rsidR="000B36E6" w:rsidRPr="006C239A" w:rsidRDefault="000B36E6" w:rsidP="006C239A">
    <w:pPr>
      <w:spacing w:before="60" w:after="0" w:line="240" w:lineRule="auto"/>
      <w:ind w:right="120"/>
      <w:jc w:val="right"/>
      <w:rPr>
        <w:rFonts w:eastAsia="Calibri" w:cstheme="minorHAnsi"/>
        <w:b/>
        <w:bCs/>
        <w:color w:val="00206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07D0A"/>
    <w:multiLevelType w:val="hybridMultilevel"/>
    <w:tmpl w:val="5546B7E4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10A57"/>
    <w:multiLevelType w:val="hybridMultilevel"/>
    <w:tmpl w:val="CCCA198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DF190E"/>
    <w:multiLevelType w:val="hybridMultilevel"/>
    <w:tmpl w:val="B7F83F6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13419"/>
    <w:multiLevelType w:val="hybridMultilevel"/>
    <w:tmpl w:val="AE4AD8E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C16413"/>
    <w:multiLevelType w:val="hybridMultilevel"/>
    <w:tmpl w:val="D616BF3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1D6937"/>
    <w:multiLevelType w:val="hybridMultilevel"/>
    <w:tmpl w:val="8640AAE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268BB"/>
    <w:multiLevelType w:val="hybridMultilevel"/>
    <w:tmpl w:val="26A4E23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3331076"/>
    <w:multiLevelType w:val="hybridMultilevel"/>
    <w:tmpl w:val="4712E80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21580A"/>
    <w:multiLevelType w:val="hybridMultilevel"/>
    <w:tmpl w:val="001C7D9C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1901AA"/>
    <w:multiLevelType w:val="hybridMultilevel"/>
    <w:tmpl w:val="1A3CC2BC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13744A0"/>
    <w:multiLevelType w:val="hybridMultilevel"/>
    <w:tmpl w:val="F5485E7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732D0F"/>
    <w:multiLevelType w:val="hybridMultilevel"/>
    <w:tmpl w:val="BED6B19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A31A91"/>
    <w:multiLevelType w:val="hybridMultilevel"/>
    <w:tmpl w:val="E40070E6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1C211A"/>
    <w:multiLevelType w:val="hybridMultilevel"/>
    <w:tmpl w:val="E34EB2F2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4B1906"/>
    <w:multiLevelType w:val="hybridMultilevel"/>
    <w:tmpl w:val="4482B8BE"/>
    <w:lvl w:ilvl="0" w:tplc="C2A6D39C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strike w:val="0"/>
        <w:dstrike w:val="0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0C34A7"/>
    <w:multiLevelType w:val="hybridMultilevel"/>
    <w:tmpl w:val="2D2C6F44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6225991">
    <w:abstractNumId w:val="6"/>
  </w:num>
  <w:num w:numId="2" w16cid:durableId="1334838568">
    <w:abstractNumId w:val="13"/>
  </w:num>
  <w:num w:numId="3" w16cid:durableId="420757746">
    <w:abstractNumId w:val="5"/>
  </w:num>
  <w:num w:numId="4" w16cid:durableId="1852601386">
    <w:abstractNumId w:val="14"/>
  </w:num>
  <w:num w:numId="5" w16cid:durableId="2066946728">
    <w:abstractNumId w:val="16"/>
  </w:num>
  <w:num w:numId="6" w16cid:durableId="122694555">
    <w:abstractNumId w:val="9"/>
  </w:num>
  <w:num w:numId="7" w16cid:durableId="2125270642">
    <w:abstractNumId w:val="15"/>
  </w:num>
  <w:num w:numId="8" w16cid:durableId="1316186064">
    <w:abstractNumId w:val="8"/>
  </w:num>
  <w:num w:numId="9" w16cid:durableId="830829993">
    <w:abstractNumId w:val="1"/>
  </w:num>
  <w:num w:numId="10" w16cid:durableId="897088916">
    <w:abstractNumId w:val="11"/>
  </w:num>
  <w:num w:numId="11" w16cid:durableId="2083479607">
    <w:abstractNumId w:val="12"/>
  </w:num>
  <w:num w:numId="12" w16cid:durableId="582645384">
    <w:abstractNumId w:val="18"/>
  </w:num>
  <w:num w:numId="13" w16cid:durableId="1039866002">
    <w:abstractNumId w:val="4"/>
  </w:num>
  <w:num w:numId="14" w16cid:durableId="906308956">
    <w:abstractNumId w:val="7"/>
  </w:num>
  <w:num w:numId="15" w16cid:durableId="1720591012">
    <w:abstractNumId w:val="3"/>
  </w:num>
  <w:num w:numId="16" w16cid:durableId="729304857">
    <w:abstractNumId w:val="2"/>
  </w:num>
  <w:num w:numId="17" w16cid:durableId="155348227">
    <w:abstractNumId w:val="10"/>
  </w:num>
  <w:num w:numId="18" w16cid:durableId="1482624233">
    <w:abstractNumId w:val="17"/>
  </w:num>
  <w:num w:numId="19" w16cid:durableId="2091806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02698"/>
    <w:rsid w:val="00012A69"/>
    <w:rsid w:val="00017B96"/>
    <w:rsid w:val="00042EAC"/>
    <w:rsid w:val="00075299"/>
    <w:rsid w:val="0007565E"/>
    <w:rsid w:val="000873D2"/>
    <w:rsid w:val="00096EFB"/>
    <w:rsid w:val="000B36E6"/>
    <w:rsid w:val="000B6D54"/>
    <w:rsid w:val="000D24F3"/>
    <w:rsid w:val="000E3A54"/>
    <w:rsid w:val="000F2DFF"/>
    <w:rsid w:val="001001D1"/>
    <w:rsid w:val="00111510"/>
    <w:rsid w:val="00120DB8"/>
    <w:rsid w:val="001250F4"/>
    <w:rsid w:val="0014520F"/>
    <w:rsid w:val="00153074"/>
    <w:rsid w:val="0015393E"/>
    <w:rsid w:val="00161C70"/>
    <w:rsid w:val="001654A8"/>
    <w:rsid w:val="00170F1C"/>
    <w:rsid w:val="0019350C"/>
    <w:rsid w:val="001A4839"/>
    <w:rsid w:val="001A6579"/>
    <w:rsid w:val="001A6EF9"/>
    <w:rsid w:val="001B6850"/>
    <w:rsid w:val="001C7CDF"/>
    <w:rsid w:val="001E07AB"/>
    <w:rsid w:val="001E6ACA"/>
    <w:rsid w:val="00203B7D"/>
    <w:rsid w:val="00220FD6"/>
    <w:rsid w:val="0022147E"/>
    <w:rsid w:val="00221E43"/>
    <w:rsid w:val="0022450A"/>
    <w:rsid w:val="00234E92"/>
    <w:rsid w:val="002373EE"/>
    <w:rsid w:val="00242795"/>
    <w:rsid w:val="002428F2"/>
    <w:rsid w:val="00243F6E"/>
    <w:rsid w:val="002506D5"/>
    <w:rsid w:val="00253DB3"/>
    <w:rsid w:val="00253F45"/>
    <w:rsid w:val="00257244"/>
    <w:rsid w:val="002608A2"/>
    <w:rsid w:val="0026303C"/>
    <w:rsid w:val="00270896"/>
    <w:rsid w:val="00280A6A"/>
    <w:rsid w:val="00287411"/>
    <w:rsid w:val="00295B25"/>
    <w:rsid w:val="002A1410"/>
    <w:rsid w:val="002A4C08"/>
    <w:rsid w:val="002B29D7"/>
    <w:rsid w:val="002B3F4F"/>
    <w:rsid w:val="002D51C8"/>
    <w:rsid w:val="002E21C8"/>
    <w:rsid w:val="002E5CD1"/>
    <w:rsid w:val="002F32F6"/>
    <w:rsid w:val="002F4C08"/>
    <w:rsid w:val="00300364"/>
    <w:rsid w:val="003005B3"/>
    <w:rsid w:val="003035F4"/>
    <w:rsid w:val="00312603"/>
    <w:rsid w:val="003210AE"/>
    <w:rsid w:val="00325213"/>
    <w:rsid w:val="00335406"/>
    <w:rsid w:val="00335ABC"/>
    <w:rsid w:val="00341A67"/>
    <w:rsid w:val="00343003"/>
    <w:rsid w:val="00343578"/>
    <w:rsid w:val="00380380"/>
    <w:rsid w:val="00386A2E"/>
    <w:rsid w:val="003A2F2D"/>
    <w:rsid w:val="003A5512"/>
    <w:rsid w:val="003A5AD4"/>
    <w:rsid w:val="003B5EAF"/>
    <w:rsid w:val="003D1989"/>
    <w:rsid w:val="003D1B1B"/>
    <w:rsid w:val="003E4942"/>
    <w:rsid w:val="003E4E18"/>
    <w:rsid w:val="003F1677"/>
    <w:rsid w:val="003F4F62"/>
    <w:rsid w:val="003F611B"/>
    <w:rsid w:val="004402F2"/>
    <w:rsid w:val="00442006"/>
    <w:rsid w:val="00444AE6"/>
    <w:rsid w:val="00454684"/>
    <w:rsid w:val="00471DD0"/>
    <w:rsid w:val="00475521"/>
    <w:rsid w:val="004A3AE0"/>
    <w:rsid w:val="004A6ECB"/>
    <w:rsid w:val="004B2608"/>
    <w:rsid w:val="004D52A9"/>
    <w:rsid w:val="004D62AD"/>
    <w:rsid w:val="004E2CFF"/>
    <w:rsid w:val="004E3A23"/>
    <w:rsid w:val="004F4ADD"/>
    <w:rsid w:val="00512FA2"/>
    <w:rsid w:val="00545FF1"/>
    <w:rsid w:val="0055220B"/>
    <w:rsid w:val="005645AE"/>
    <w:rsid w:val="005829D3"/>
    <w:rsid w:val="00583032"/>
    <w:rsid w:val="00594AF3"/>
    <w:rsid w:val="005B1AC8"/>
    <w:rsid w:val="005B672F"/>
    <w:rsid w:val="005C777D"/>
    <w:rsid w:val="005E7824"/>
    <w:rsid w:val="005F7257"/>
    <w:rsid w:val="006071D9"/>
    <w:rsid w:val="00612772"/>
    <w:rsid w:val="00616D6E"/>
    <w:rsid w:val="006262BF"/>
    <w:rsid w:val="0062666C"/>
    <w:rsid w:val="0063259F"/>
    <w:rsid w:val="006407BE"/>
    <w:rsid w:val="006600E5"/>
    <w:rsid w:val="00671E55"/>
    <w:rsid w:val="006760BD"/>
    <w:rsid w:val="00677CA5"/>
    <w:rsid w:val="00683A31"/>
    <w:rsid w:val="00687150"/>
    <w:rsid w:val="00694FDE"/>
    <w:rsid w:val="006953EF"/>
    <w:rsid w:val="0069793F"/>
    <w:rsid w:val="006B62A4"/>
    <w:rsid w:val="006B7BCF"/>
    <w:rsid w:val="006C206F"/>
    <w:rsid w:val="006C239A"/>
    <w:rsid w:val="006D3D99"/>
    <w:rsid w:val="006D6527"/>
    <w:rsid w:val="006E295A"/>
    <w:rsid w:val="006E2E69"/>
    <w:rsid w:val="006E7404"/>
    <w:rsid w:val="006F6889"/>
    <w:rsid w:val="00721B38"/>
    <w:rsid w:val="00722D20"/>
    <w:rsid w:val="00724321"/>
    <w:rsid w:val="0073229D"/>
    <w:rsid w:val="0073361B"/>
    <w:rsid w:val="00736221"/>
    <w:rsid w:val="007417ED"/>
    <w:rsid w:val="00747A44"/>
    <w:rsid w:val="00750E0E"/>
    <w:rsid w:val="00752AFA"/>
    <w:rsid w:val="007531A8"/>
    <w:rsid w:val="0076221C"/>
    <w:rsid w:val="0077409A"/>
    <w:rsid w:val="00782668"/>
    <w:rsid w:val="007942B5"/>
    <w:rsid w:val="00794762"/>
    <w:rsid w:val="00795A55"/>
    <w:rsid w:val="007B4E86"/>
    <w:rsid w:val="007C10D6"/>
    <w:rsid w:val="007C5279"/>
    <w:rsid w:val="007C5352"/>
    <w:rsid w:val="007E4B50"/>
    <w:rsid w:val="007E52DF"/>
    <w:rsid w:val="007F1647"/>
    <w:rsid w:val="008128B4"/>
    <w:rsid w:val="0081343F"/>
    <w:rsid w:val="00816733"/>
    <w:rsid w:val="00830588"/>
    <w:rsid w:val="00832003"/>
    <w:rsid w:val="00832BBA"/>
    <w:rsid w:val="008413BE"/>
    <w:rsid w:val="0084386D"/>
    <w:rsid w:val="008450AF"/>
    <w:rsid w:val="00851C1F"/>
    <w:rsid w:val="008547C1"/>
    <w:rsid w:val="00872256"/>
    <w:rsid w:val="00873FFD"/>
    <w:rsid w:val="008808E2"/>
    <w:rsid w:val="0088321E"/>
    <w:rsid w:val="00891C02"/>
    <w:rsid w:val="00897429"/>
    <w:rsid w:val="008A31DC"/>
    <w:rsid w:val="008A362A"/>
    <w:rsid w:val="008B2343"/>
    <w:rsid w:val="008B30A8"/>
    <w:rsid w:val="008B5D8B"/>
    <w:rsid w:val="008E0AAD"/>
    <w:rsid w:val="008F2078"/>
    <w:rsid w:val="00903EAD"/>
    <w:rsid w:val="00914E59"/>
    <w:rsid w:val="00930FE0"/>
    <w:rsid w:val="009454FF"/>
    <w:rsid w:val="00947E50"/>
    <w:rsid w:val="0095026F"/>
    <w:rsid w:val="009532CD"/>
    <w:rsid w:val="00956990"/>
    <w:rsid w:val="0095732C"/>
    <w:rsid w:val="009608DA"/>
    <w:rsid w:val="00964B3D"/>
    <w:rsid w:val="009653A3"/>
    <w:rsid w:val="009741DC"/>
    <w:rsid w:val="009813FF"/>
    <w:rsid w:val="00984723"/>
    <w:rsid w:val="0098674E"/>
    <w:rsid w:val="009934B4"/>
    <w:rsid w:val="00994D18"/>
    <w:rsid w:val="009A074A"/>
    <w:rsid w:val="009B0059"/>
    <w:rsid w:val="009B66BD"/>
    <w:rsid w:val="009C167A"/>
    <w:rsid w:val="009D1D2E"/>
    <w:rsid w:val="00A069AA"/>
    <w:rsid w:val="00A10CA7"/>
    <w:rsid w:val="00A115CB"/>
    <w:rsid w:val="00A205E8"/>
    <w:rsid w:val="00A24A4C"/>
    <w:rsid w:val="00A40BE2"/>
    <w:rsid w:val="00A43D25"/>
    <w:rsid w:val="00A666DD"/>
    <w:rsid w:val="00A84B63"/>
    <w:rsid w:val="00A84D1C"/>
    <w:rsid w:val="00A94D51"/>
    <w:rsid w:val="00A97F63"/>
    <w:rsid w:val="00AA1F30"/>
    <w:rsid w:val="00AB029D"/>
    <w:rsid w:val="00AB1C6E"/>
    <w:rsid w:val="00AC25E3"/>
    <w:rsid w:val="00AD0B5F"/>
    <w:rsid w:val="00AD0D56"/>
    <w:rsid w:val="00AD1F84"/>
    <w:rsid w:val="00AD370C"/>
    <w:rsid w:val="00AE5CD7"/>
    <w:rsid w:val="00B13B72"/>
    <w:rsid w:val="00B2041C"/>
    <w:rsid w:val="00B24375"/>
    <w:rsid w:val="00B24CC5"/>
    <w:rsid w:val="00B32468"/>
    <w:rsid w:val="00B5205E"/>
    <w:rsid w:val="00B951EF"/>
    <w:rsid w:val="00BB1434"/>
    <w:rsid w:val="00BF5AFF"/>
    <w:rsid w:val="00C06CB7"/>
    <w:rsid w:val="00C20CF7"/>
    <w:rsid w:val="00C23375"/>
    <w:rsid w:val="00C40D12"/>
    <w:rsid w:val="00C44C96"/>
    <w:rsid w:val="00C50AB0"/>
    <w:rsid w:val="00C6079A"/>
    <w:rsid w:val="00C6296E"/>
    <w:rsid w:val="00C6301D"/>
    <w:rsid w:val="00C63110"/>
    <w:rsid w:val="00C7691F"/>
    <w:rsid w:val="00C7717D"/>
    <w:rsid w:val="00C83F9B"/>
    <w:rsid w:val="00CA3953"/>
    <w:rsid w:val="00CB1972"/>
    <w:rsid w:val="00CD4677"/>
    <w:rsid w:val="00CF10C8"/>
    <w:rsid w:val="00D02CA7"/>
    <w:rsid w:val="00D16387"/>
    <w:rsid w:val="00D16A4F"/>
    <w:rsid w:val="00D17070"/>
    <w:rsid w:val="00D17C5C"/>
    <w:rsid w:val="00D31A68"/>
    <w:rsid w:val="00D47D33"/>
    <w:rsid w:val="00D611AE"/>
    <w:rsid w:val="00D61C51"/>
    <w:rsid w:val="00D67A0B"/>
    <w:rsid w:val="00D75609"/>
    <w:rsid w:val="00D773CC"/>
    <w:rsid w:val="00DE0644"/>
    <w:rsid w:val="00E014FD"/>
    <w:rsid w:val="00E063FD"/>
    <w:rsid w:val="00E2097E"/>
    <w:rsid w:val="00E368A5"/>
    <w:rsid w:val="00E51831"/>
    <w:rsid w:val="00E523C8"/>
    <w:rsid w:val="00E57432"/>
    <w:rsid w:val="00E66330"/>
    <w:rsid w:val="00E67A41"/>
    <w:rsid w:val="00E80101"/>
    <w:rsid w:val="00E83395"/>
    <w:rsid w:val="00EA0595"/>
    <w:rsid w:val="00EA3914"/>
    <w:rsid w:val="00EB3555"/>
    <w:rsid w:val="00EB680F"/>
    <w:rsid w:val="00EB6A76"/>
    <w:rsid w:val="00EC37F8"/>
    <w:rsid w:val="00EC7460"/>
    <w:rsid w:val="00F10FAA"/>
    <w:rsid w:val="00F15BFA"/>
    <w:rsid w:val="00F1667B"/>
    <w:rsid w:val="00F4276F"/>
    <w:rsid w:val="00F4481C"/>
    <w:rsid w:val="00F44E24"/>
    <w:rsid w:val="00F4701E"/>
    <w:rsid w:val="00F51523"/>
    <w:rsid w:val="00F97905"/>
    <w:rsid w:val="00FA5971"/>
    <w:rsid w:val="00FD132F"/>
    <w:rsid w:val="00FE1CA7"/>
    <w:rsid w:val="00FF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FDE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,2 Char,Dot p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98674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6E6"/>
  </w:style>
  <w:style w:type="paragraph" w:styleId="Footer">
    <w:name w:val="footer"/>
    <w:basedOn w:val="Normal"/>
    <w:link w:val="FooterChar"/>
    <w:uiPriority w:val="99"/>
    <w:unhideWhenUsed/>
    <w:rsid w:val="000B3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6E6"/>
  </w:style>
  <w:style w:type="paragraph" w:styleId="FootnoteText">
    <w:name w:val="footnote text"/>
    <w:aliases w:val="RSK-FT,RSK-FT1,RSK-FT2,Podrozdział,Footnote Text Char Char,Fußnote,single space,FOOTNOTES,fn,Char,Carattere,Footnotes,Footnote ak,fn Char Char,footnote text Char Char,Footnotes Char Char,Footnote ak Char Char,fn Char1,FT,ft,o,stile 1"/>
    <w:basedOn w:val="Normal"/>
    <w:link w:val="FootnoteTextChar"/>
    <w:uiPriority w:val="99"/>
    <w:unhideWhenUsed/>
    <w:qFormat/>
    <w:rsid w:val="007417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RSK-FT Char,RSK-FT1 Char,RSK-FT2 Char,Podrozdział Char,Footnote Text Char Char Char,Fußnote Char,single space Char,FOOTNOTES Char,fn Char,Char Char,Carattere Char,Footnotes Char,Footnote ak Char,fn Char Char Char,fn Char1 Char,FT Char"/>
    <w:basedOn w:val="DefaultParagraphFont"/>
    <w:link w:val="FootnoteText"/>
    <w:uiPriority w:val="99"/>
    <w:qFormat/>
    <w:rsid w:val="007417ED"/>
    <w:rPr>
      <w:sz w:val="20"/>
      <w:szCs w:val="20"/>
    </w:rPr>
  </w:style>
  <w:style w:type="character" w:styleId="FootnoteReference">
    <w:name w:val="footnote reference"/>
    <w:aliases w:val="Footnote Reference Superscript,Footnote Reference/,Footnote Reference text,Footnote symbol,Voetnootverwijzing,footnote ref,FR,Fußnotenzeichen diss neu,Times 10 Point,Exposant 3 Point,Odwołanie przypisu,number,SUPERS,Footnote,f"/>
    <w:basedOn w:val="DefaultParagraphFont"/>
    <w:link w:val="ftrefCaracterCaracterCaracter"/>
    <w:uiPriority w:val="99"/>
    <w:unhideWhenUsed/>
    <w:qFormat/>
    <w:rsid w:val="007417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0E3A54"/>
    <w:pPr>
      <w:spacing w:before="110" w:line="240" w:lineRule="exact"/>
      <w:jc w:val="both"/>
    </w:pPr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B66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66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66B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5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6403-024F-49AA-82E6-09DDA151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630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Valentin Georgel Rosca</cp:lastModifiedBy>
  <cp:revision>39</cp:revision>
  <cp:lastPrinted>2024-05-09T10:45:00Z</cp:lastPrinted>
  <dcterms:created xsi:type="dcterms:W3CDTF">2023-12-08T12:24:00Z</dcterms:created>
  <dcterms:modified xsi:type="dcterms:W3CDTF">2024-06-20T16:20:00Z</dcterms:modified>
</cp:coreProperties>
</file>