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751F" w14:textId="5729F299" w:rsidR="00D479A3" w:rsidRPr="00646A0A" w:rsidRDefault="00D479A3" w:rsidP="00373D14">
      <w:pPr>
        <w:pStyle w:val="Heading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7A243F">
        <w:rPr>
          <w:rFonts w:asciiTheme="minorHAnsi" w:hAnsiTheme="minorHAnsi" w:cstheme="minorHAnsi"/>
          <w:b/>
          <w:bCs/>
          <w:color w:val="002060"/>
          <w:sz w:val="22"/>
          <w:szCs w:val="22"/>
          <w:lang w:val="ro-RO"/>
        </w:rPr>
        <w:t>8</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27FAAE78" w14:textId="77777777" w:rsidR="00D479A3" w:rsidRPr="00646A0A" w:rsidRDefault="00D479A3" w:rsidP="00373D14">
      <w:pPr>
        <w:pStyle w:val="ListParagraph"/>
        <w:numPr>
          <w:ilvl w:val="0"/>
          <w:numId w:val="18"/>
        </w:numPr>
        <w:spacing w:before="60" w:after="0" w:line="240" w:lineRule="auto"/>
        <w:contextualSpacing w:val="0"/>
        <w:rPr>
          <w:rFonts w:cstheme="minorHAnsi"/>
          <w:b/>
          <w:bCs/>
          <w:i/>
          <w:color w:val="002060"/>
        </w:rPr>
      </w:pPr>
      <w:bookmarkStart w:id="1" w:name="_Toc135034720"/>
      <w:bookmarkEnd w:id="0"/>
      <w:r w:rsidRPr="00646A0A">
        <w:rPr>
          <w:rFonts w:cstheme="minorHAnsi"/>
          <w:b/>
          <w:bCs/>
          <w:i/>
          <w:color w:val="002060"/>
        </w:rPr>
        <w:t>Cerințe DNSH aplicabile pentru investițiile care vizează REABLILITARE/MODERNIZARE</w:t>
      </w:r>
      <w:bookmarkEnd w:id="1"/>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leGrid"/>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646A0A" w14:paraId="0E360916" w14:textId="77777777" w:rsidTr="00DE53E5">
        <w:trPr>
          <w:trHeight w:val="667"/>
          <w:tblHeader/>
        </w:trPr>
        <w:tc>
          <w:tcPr>
            <w:tcW w:w="20880" w:type="dxa"/>
            <w:gridSpan w:val="6"/>
            <w:shd w:val="clear" w:color="auto" w:fill="F7CAAC" w:themeFill="accent2" w:themeFillTint="66"/>
          </w:tcPr>
          <w:p w14:paraId="4F3D89C2" w14:textId="77777777" w:rsidR="00D479A3" w:rsidRPr="00646A0A" w:rsidRDefault="00D479A3" w:rsidP="00373D14">
            <w:pPr>
              <w:spacing w:before="60"/>
              <w:jc w:val="both"/>
              <w:rPr>
                <w:rFonts w:cstheme="minorHAnsi"/>
                <w:b/>
                <w:bCs/>
                <w:color w:val="002060"/>
              </w:rPr>
            </w:pPr>
            <w:bookmarkStart w:id="2" w:name="_Hlk131518200"/>
            <w:r w:rsidRPr="00646A0A">
              <w:rPr>
                <w:rFonts w:cstheme="minorHAnsi"/>
                <w:b/>
                <w:bCs/>
                <w:color w:val="002060"/>
              </w:rPr>
              <w:t>REABLILITARE/MODERNIZARE</w:t>
            </w:r>
          </w:p>
          <w:bookmarkEnd w:id="2"/>
          <w:p w14:paraId="06DAAD4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40CDF8D" w14:textId="77777777" w:rsidTr="00DE53E5">
        <w:trPr>
          <w:tblHeader/>
        </w:trPr>
        <w:tc>
          <w:tcPr>
            <w:tcW w:w="1890" w:type="dxa"/>
            <w:shd w:val="clear" w:color="auto" w:fill="F7CAAC" w:themeFill="accent2" w:themeFillTint="66"/>
            <w:vAlign w:val="center"/>
          </w:tcPr>
          <w:p w14:paraId="4A073C60" w14:textId="77777777" w:rsidR="00D479A3" w:rsidRPr="00646A0A" w:rsidRDefault="00D479A3" w:rsidP="00373D14">
            <w:pPr>
              <w:spacing w:before="60"/>
              <w:jc w:val="both"/>
              <w:rPr>
                <w:rFonts w:cstheme="minorHAnsi"/>
                <w:b/>
                <w:bCs/>
                <w:color w:val="002060"/>
              </w:rPr>
            </w:pPr>
            <w:r w:rsidRPr="00646A0A">
              <w:rPr>
                <w:rFonts w:cstheme="minorHAnsi"/>
                <w:b/>
                <w:bCs/>
                <w:color w:val="002060"/>
              </w:rPr>
              <w:t>Obiective DNSH</w:t>
            </w:r>
          </w:p>
        </w:tc>
        <w:tc>
          <w:tcPr>
            <w:tcW w:w="7110" w:type="dxa"/>
            <w:shd w:val="clear" w:color="auto" w:fill="F7CAAC" w:themeFill="accent2" w:themeFillTint="66"/>
            <w:vAlign w:val="center"/>
          </w:tcPr>
          <w:p w14:paraId="12A40F3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1530" w:type="dxa"/>
            <w:shd w:val="clear" w:color="auto" w:fill="F7CAAC" w:themeFill="accent2" w:themeFillTint="66"/>
            <w:vAlign w:val="center"/>
          </w:tcPr>
          <w:p w14:paraId="3AE93AE7"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3600" w:type="dxa"/>
            <w:shd w:val="clear" w:color="auto" w:fill="F7CAAC" w:themeFill="accent2" w:themeFillTint="66"/>
            <w:vAlign w:val="center"/>
          </w:tcPr>
          <w:p w14:paraId="20857C0C"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2430" w:type="dxa"/>
            <w:shd w:val="clear" w:color="auto" w:fill="F7CAAC" w:themeFill="accent2" w:themeFillTint="66"/>
            <w:vAlign w:val="center"/>
          </w:tcPr>
          <w:p w14:paraId="3BF4A0D1"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4320" w:type="dxa"/>
            <w:shd w:val="clear" w:color="auto" w:fill="F7CAAC" w:themeFill="accent2" w:themeFillTint="66"/>
            <w:vAlign w:val="center"/>
          </w:tcPr>
          <w:p w14:paraId="32CA3E34"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13C12749"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13AE3C6C" w14:textId="77777777" w:rsidTr="00D479A3">
        <w:tc>
          <w:tcPr>
            <w:tcW w:w="1890" w:type="dxa"/>
            <w:vMerge w:val="restart"/>
            <w:vAlign w:val="center"/>
          </w:tcPr>
          <w:p w14:paraId="2CE921BB" w14:textId="77777777" w:rsidR="00D659E9" w:rsidRPr="00646A0A" w:rsidRDefault="00D659E9" w:rsidP="00D659E9">
            <w:pPr>
              <w:spacing w:before="60"/>
              <w:jc w:val="both"/>
              <w:rPr>
                <w:rFonts w:cstheme="minorHAnsi"/>
                <w:b/>
                <w:bCs/>
                <w:color w:val="002060"/>
              </w:rPr>
            </w:pPr>
            <w:r w:rsidRPr="00646A0A">
              <w:rPr>
                <w:rFonts w:cstheme="minorHAnsi"/>
                <w:b/>
                <w:bCs/>
                <w:color w:val="002060"/>
              </w:rPr>
              <w:t>Atenuarea schimbărilor climatice</w:t>
            </w:r>
          </w:p>
        </w:tc>
        <w:tc>
          <w:tcPr>
            <w:tcW w:w="7110" w:type="dxa"/>
            <w:shd w:val="clear" w:color="auto" w:fill="FBE4D5" w:themeFill="accent2" w:themeFillTint="33"/>
            <w:vAlign w:val="center"/>
          </w:tcPr>
          <w:p w14:paraId="06BFC001" w14:textId="77777777" w:rsidR="00D659E9" w:rsidRPr="00646A0A" w:rsidRDefault="00D659E9" w:rsidP="00D659E9">
            <w:pPr>
              <w:spacing w:before="60"/>
              <w:jc w:val="both"/>
              <w:rPr>
                <w:rFonts w:cstheme="minorHAnsi"/>
                <w:color w:val="002060"/>
              </w:rPr>
            </w:pPr>
            <w:r w:rsidRPr="00646A0A">
              <w:rPr>
                <w:rFonts w:cstheme="minorHAnsi"/>
                <w:color w:val="002060"/>
              </w:rPr>
              <w:t>Clădirile nu vor fi folosite pentru extracția, depozitarea, transportul sau producția de combustibili fosili</w:t>
            </w:r>
          </w:p>
        </w:tc>
        <w:tc>
          <w:tcPr>
            <w:tcW w:w="1530" w:type="dxa"/>
            <w:shd w:val="clear" w:color="auto" w:fill="FBE4D5" w:themeFill="accent2" w:themeFillTint="33"/>
          </w:tcPr>
          <w:p w14:paraId="05359B44"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4923C51"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2430" w:type="dxa"/>
            <w:shd w:val="clear" w:color="auto" w:fill="FBE4D5" w:themeFill="accent2" w:themeFillTint="33"/>
          </w:tcPr>
          <w:p w14:paraId="2920ED9B"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4320" w:type="dxa"/>
            <w:shd w:val="clear" w:color="auto" w:fill="FBE4D5" w:themeFill="accent2" w:themeFillTint="33"/>
          </w:tcPr>
          <w:p w14:paraId="48319F5B" w14:textId="77777777" w:rsidR="00D659E9" w:rsidRDefault="00D659E9" w:rsidP="00D659E9">
            <w:pPr>
              <w:pStyle w:val="ListParagraph"/>
              <w:numPr>
                <w:ilvl w:val="0"/>
                <w:numId w:val="7"/>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D659E9" w:rsidRPr="00646A0A" w:rsidRDefault="00D659E9" w:rsidP="00D659E9">
            <w:pPr>
              <w:pStyle w:val="ListParagraph"/>
              <w:numPr>
                <w:ilvl w:val="0"/>
                <w:numId w:val="7"/>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7D59D0A5" w14:textId="77777777" w:rsidTr="00D479A3">
        <w:tc>
          <w:tcPr>
            <w:tcW w:w="1890" w:type="dxa"/>
            <w:vMerge/>
            <w:vAlign w:val="center"/>
          </w:tcPr>
          <w:p w14:paraId="1E50C0EC" w14:textId="77777777" w:rsidR="00D479A3" w:rsidRPr="00646A0A" w:rsidRDefault="00D479A3" w:rsidP="00373D14">
            <w:pPr>
              <w:spacing w:before="60"/>
              <w:jc w:val="both"/>
              <w:rPr>
                <w:rFonts w:cstheme="minorHAnsi"/>
                <w:b/>
                <w:bCs/>
                <w:color w:val="002060"/>
              </w:rPr>
            </w:pPr>
          </w:p>
        </w:tc>
        <w:tc>
          <w:tcPr>
            <w:tcW w:w="7110" w:type="dxa"/>
            <w:shd w:val="clear" w:color="auto" w:fill="FBE4D5" w:themeFill="accent2" w:themeFillTint="33"/>
          </w:tcPr>
          <w:p w14:paraId="1B05CE5E" w14:textId="77777777" w:rsidR="00D479A3" w:rsidRPr="00646A0A" w:rsidRDefault="00D479A3" w:rsidP="00373D14">
            <w:pPr>
              <w:spacing w:before="60"/>
              <w:jc w:val="both"/>
              <w:rPr>
                <w:rFonts w:cstheme="minorHAnsi"/>
                <w:color w:val="002060"/>
              </w:rPr>
            </w:pPr>
            <w:r w:rsidRPr="00646A0A">
              <w:rPr>
                <w:rFonts w:cstheme="minorHAnsi"/>
                <w:color w:val="002060"/>
              </w:rPr>
              <w:t>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1530" w:type="dxa"/>
            <w:shd w:val="clear" w:color="auto" w:fill="FBE4D5" w:themeFill="accent2" w:themeFillTint="33"/>
          </w:tcPr>
          <w:p w14:paraId="48CA9B34"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FB0F66E"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2430" w:type="dxa"/>
            <w:shd w:val="clear" w:color="auto" w:fill="FBE4D5" w:themeFill="accent2" w:themeFillTint="33"/>
          </w:tcPr>
          <w:p w14:paraId="62EA99F3" w14:textId="6E8F030F" w:rsidR="00D479A3" w:rsidRPr="00646A0A" w:rsidRDefault="009145F4" w:rsidP="00373D14">
            <w:pPr>
              <w:spacing w:before="60"/>
              <w:jc w:val="both"/>
              <w:rPr>
                <w:rFonts w:cstheme="minorHAnsi"/>
                <w:color w:val="002060"/>
              </w:rPr>
            </w:pPr>
            <w:r w:rsidRPr="00646A0A">
              <w:rPr>
                <w:rFonts w:cstheme="minorHAnsi"/>
                <w:color w:val="002060"/>
              </w:rPr>
              <w:t>Includerea în SF/DALI/PT</w:t>
            </w:r>
          </w:p>
        </w:tc>
        <w:tc>
          <w:tcPr>
            <w:tcW w:w="4320" w:type="dxa"/>
            <w:shd w:val="clear" w:color="auto" w:fill="FBE4D5" w:themeFill="accent2" w:themeFillTint="33"/>
          </w:tcPr>
          <w:p w14:paraId="5D20DDC3"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Accesul la informație, participarea publicului și accesul la justiție în probleme de mediu (Convenția de la </w:t>
            </w:r>
            <w:proofErr w:type="spellStart"/>
            <w:r w:rsidRPr="00646A0A">
              <w:rPr>
                <w:rFonts w:cstheme="minorHAnsi"/>
                <w:color w:val="002060"/>
              </w:rPr>
              <w:t>Aarhus</w:t>
            </w:r>
            <w:proofErr w:type="spellEnd"/>
            <w:r w:rsidRPr="00646A0A">
              <w:rPr>
                <w:rFonts w:cstheme="minorHAnsi"/>
                <w:color w:val="002060"/>
              </w:rPr>
              <w:t>)</w:t>
            </w:r>
          </w:p>
          <w:p w14:paraId="50E85D8D" w14:textId="77777777" w:rsidR="00D479A3" w:rsidRPr="00646A0A" w:rsidRDefault="00D479A3" w:rsidP="00373D14">
            <w:pPr>
              <w:spacing w:before="60"/>
              <w:jc w:val="both"/>
              <w:rPr>
                <w:rFonts w:cstheme="minorHAnsi"/>
                <w:color w:val="002060"/>
              </w:rPr>
            </w:pPr>
          </w:p>
        </w:tc>
      </w:tr>
      <w:tr w:rsidR="00D479A3" w:rsidRPr="00646A0A" w14:paraId="7A069973" w14:textId="77777777" w:rsidTr="00D479A3">
        <w:tc>
          <w:tcPr>
            <w:tcW w:w="1890" w:type="dxa"/>
            <w:vMerge/>
          </w:tcPr>
          <w:p w14:paraId="79A655C1" w14:textId="77777777" w:rsidR="00D479A3" w:rsidRPr="00646A0A" w:rsidRDefault="00D479A3" w:rsidP="00373D14">
            <w:pPr>
              <w:spacing w:before="60"/>
              <w:jc w:val="both"/>
              <w:rPr>
                <w:rFonts w:cstheme="minorHAnsi"/>
                <w:b/>
                <w:bCs/>
                <w:color w:val="002060"/>
              </w:rPr>
            </w:pPr>
          </w:p>
        </w:tc>
        <w:tc>
          <w:tcPr>
            <w:tcW w:w="7110" w:type="dxa"/>
            <w:vMerge w:val="restart"/>
            <w:shd w:val="clear" w:color="auto" w:fill="auto"/>
          </w:tcPr>
          <w:p w14:paraId="7D34CB3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D64F1CB"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w:t>
            </w:r>
            <w:r w:rsidRPr="00646A0A">
              <w:rPr>
                <w:rFonts w:cstheme="minorHAnsi"/>
                <w:color w:val="002060"/>
              </w:rPr>
              <w:t>:</w:t>
            </w:r>
          </w:p>
          <w:p w14:paraId="549CD97A" w14:textId="77777777" w:rsidR="00D479A3" w:rsidRPr="00646A0A" w:rsidRDefault="00D479A3" w:rsidP="00373D14">
            <w:pPr>
              <w:pStyle w:val="ListParagraph"/>
              <w:numPr>
                <w:ilvl w:val="0"/>
                <w:numId w:val="13"/>
              </w:numPr>
              <w:spacing w:before="60"/>
              <w:contextualSpacing w:val="0"/>
              <w:jc w:val="both"/>
              <w:rPr>
                <w:rFonts w:cstheme="minorHAnsi"/>
                <w:color w:val="002060"/>
              </w:rPr>
            </w:pPr>
            <w:r w:rsidRPr="00646A0A" w:rsidDel="008B3FB9">
              <w:rPr>
                <w:rFonts w:cstheme="minorHAnsi"/>
                <w:color w:val="002060"/>
              </w:rPr>
              <w:t xml:space="preserve">Utilizarea surselor regenerabile de energie (de exemplu, panouri fotovoltaice). </w:t>
            </w:r>
          </w:p>
          <w:p w14:paraId="20500A58" w14:textId="77777777" w:rsidR="00D479A3" w:rsidRPr="00646A0A" w:rsidRDefault="00D479A3" w:rsidP="00373D14">
            <w:pPr>
              <w:pStyle w:val="ListParagraph"/>
              <w:numPr>
                <w:ilvl w:val="0"/>
                <w:numId w:val="13"/>
              </w:numPr>
              <w:spacing w:before="60"/>
              <w:contextualSpacing w:val="0"/>
              <w:jc w:val="both"/>
              <w:rPr>
                <w:rFonts w:cstheme="minorHAnsi"/>
                <w:color w:val="002060"/>
              </w:rPr>
            </w:pPr>
            <w:r w:rsidRPr="00646A0A" w:rsidDel="008B3FB9">
              <w:rPr>
                <w:rFonts w:cstheme="minorHAnsi"/>
                <w:color w:val="002060"/>
              </w:rPr>
              <w:t xml:space="preserve">Creșterea spațiilor verzi </w:t>
            </w:r>
            <w:proofErr w:type="spellStart"/>
            <w:r w:rsidRPr="00646A0A" w:rsidDel="008B3FB9">
              <w:rPr>
                <w:rFonts w:cstheme="minorHAnsi"/>
                <w:color w:val="002060"/>
              </w:rPr>
              <w:t>şi</w:t>
            </w:r>
            <w:proofErr w:type="spellEnd"/>
            <w:r w:rsidRPr="00646A0A" w:rsidDel="008B3FB9">
              <w:rPr>
                <w:rFonts w:cstheme="minorHAnsi"/>
                <w:color w:val="002060"/>
              </w:rPr>
              <w:t xml:space="preserve"> a arborilor;</w:t>
            </w:r>
          </w:p>
          <w:p w14:paraId="39A99076" w14:textId="77777777" w:rsidR="00D479A3" w:rsidRPr="00646A0A" w:rsidRDefault="00D479A3" w:rsidP="00373D14">
            <w:pPr>
              <w:spacing w:before="60"/>
              <w:jc w:val="both"/>
              <w:rPr>
                <w:rFonts w:cstheme="minorHAnsi"/>
                <w:color w:val="002060"/>
              </w:rPr>
            </w:pPr>
          </w:p>
          <w:p w14:paraId="3917C513" w14:textId="77777777" w:rsidR="00D479A3" w:rsidRPr="00646A0A" w:rsidRDefault="00D479A3" w:rsidP="00373D14">
            <w:pPr>
              <w:spacing w:before="60"/>
              <w:jc w:val="both"/>
              <w:rPr>
                <w:rFonts w:cstheme="minorHAnsi"/>
                <w:color w:val="002060"/>
              </w:rPr>
            </w:pPr>
            <w:r w:rsidRPr="00646A0A">
              <w:rPr>
                <w:rFonts w:cstheme="minorHAnsi"/>
                <w:color w:val="002060"/>
              </w:rPr>
              <w:t>*</w:t>
            </w:r>
            <w:r w:rsidRPr="00646A0A" w:rsidDel="008B3FB9">
              <w:rPr>
                <w:rFonts w:cstheme="minorHAnsi"/>
                <w:color w:val="002060"/>
              </w:rPr>
              <w:t xml:space="preserve">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tc>
        <w:tc>
          <w:tcPr>
            <w:tcW w:w="1530" w:type="dxa"/>
            <w:shd w:val="clear" w:color="auto" w:fill="FBE4D5" w:themeFill="accent2" w:themeFillTint="33"/>
          </w:tcPr>
          <w:p w14:paraId="5FF04B4F"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2085F4A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includerea măsurii privind utilizarea surselor de energie regenerabile în documentația </w:t>
            </w:r>
            <w:proofErr w:type="spellStart"/>
            <w:r w:rsidRPr="00646A0A">
              <w:rPr>
                <w:rFonts w:cstheme="minorHAnsi"/>
                <w:color w:val="002060"/>
              </w:rPr>
              <w:t>tehnico</w:t>
            </w:r>
            <w:proofErr w:type="spellEnd"/>
            <w:r w:rsidRPr="00646A0A">
              <w:rPr>
                <w:rFonts w:cstheme="minorHAnsi"/>
                <w:color w:val="002060"/>
              </w:rPr>
              <w:t>-economică care însoțește proiectul.</w:t>
            </w:r>
          </w:p>
        </w:tc>
        <w:tc>
          <w:tcPr>
            <w:tcW w:w="2430" w:type="dxa"/>
            <w:shd w:val="clear" w:color="auto" w:fill="FBE4D5" w:themeFill="accent2" w:themeFillTint="33"/>
          </w:tcPr>
          <w:p w14:paraId="4E06CA0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w:t>
            </w:r>
            <w:proofErr w:type="spellStart"/>
            <w:r w:rsidRPr="00646A0A">
              <w:rPr>
                <w:rFonts w:cstheme="minorHAnsi"/>
                <w:color w:val="002060"/>
              </w:rPr>
              <w:t>investiţiei</w:t>
            </w:r>
            <w:proofErr w:type="spellEnd"/>
            <w:r w:rsidRPr="00646A0A">
              <w:rPr>
                <w:rFonts w:cstheme="minorHAnsi"/>
                <w:color w:val="002060"/>
              </w:rPr>
              <w:t xml:space="preserve"> în baza certificatului de performanță energetică care atestă utilizarea surselor de energie regenerabilă</w:t>
            </w:r>
          </w:p>
        </w:tc>
        <w:tc>
          <w:tcPr>
            <w:tcW w:w="4320" w:type="dxa"/>
            <w:shd w:val="clear" w:color="auto" w:fill="FBE4D5" w:themeFill="accent2" w:themeFillTint="33"/>
          </w:tcPr>
          <w:p w14:paraId="7580A2CA" w14:textId="77777777" w:rsidR="00D479A3" w:rsidRPr="00646A0A" w:rsidRDefault="00D479A3" w:rsidP="00373D14">
            <w:pPr>
              <w:pStyle w:val="ListParagraph"/>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62F20715" w14:textId="77777777" w:rsidR="00D479A3" w:rsidRPr="00646A0A" w:rsidRDefault="00D479A3" w:rsidP="00373D14">
            <w:pPr>
              <w:spacing w:before="60"/>
              <w:jc w:val="both"/>
              <w:rPr>
                <w:rFonts w:cstheme="minorHAnsi"/>
                <w:b/>
                <w:bCs/>
                <w:color w:val="002060"/>
              </w:rPr>
            </w:pPr>
          </w:p>
        </w:tc>
      </w:tr>
      <w:tr w:rsidR="00D479A3" w:rsidRPr="00646A0A" w14:paraId="44864A33" w14:textId="77777777" w:rsidTr="00D479A3">
        <w:tc>
          <w:tcPr>
            <w:tcW w:w="1890" w:type="dxa"/>
            <w:vMerge/>
          </w:tcPr>
          <w:p w14:paraId="6A39D566" w14:textId="77777777" w:rsidR="00D479A3" w:rsidRPr="00646A0A"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646A0A" w:rsidRDefault="00D479A3" w:rsidP="00373D14">
            <w:pPr>
              <w:spacing w:before="60"/>
              <w:jc w:val="both"/>
              <w:rPr>
                <w:rFonts w:cstheme="minorHAnsi"/>
                <w:b/>
                <w:bCs/>
                <w:color w:val="002060"/>
              </w:rPr>
            </w:pPr>
          </w:p>
        </w:tc>
        <w:tc>
          <w:tcPr>
            <w:tcW w:w="1530" w:type="dxa"/>
            <w:shd w:val="clear" w:color="auto" w:fill="E2EFD9" w:themeFill="accent6" w:themeFillTint="33"/>
          </w:tcPr>
          <w:p w14:paraId="2908183E"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3696B83F"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4F272BC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includerea în cadrul documentației </w:t>
            </w:r>
            <w:proofErr w:type="spellStart"/>
            <w:r w:rsidRPr="00646A0A">
              <w:rPr>
                <w:rFonts w:cstheme="minorHAnsi"/>
                <w:color w:val="002060"/>
              </w:rPr>
              <w:t>tehnico</w:t>
            </w:r>
            <w:proofErr w:type="spellEnd"/>
            <w:r w:rsidRPr="00646A0A">
              <w:rPr>
                <w:rFonts w:cstheme="minorHAnsi"/>
                <w:color w:val="002060"/>
              </w:rPr>
              <w:t xml:space="preserve"> economice a soluției privind utilizarea de energie din surse regenerabile de minim 30% din consumul de energie.</w:t>
            </w:r>
          </w:p>
        </w:tc>
        <w:tc>
          <w:tcPr>
            <w:tcW w:w="2430" w:type="dxa"/>
            <w:shd w:val="clear" w:color="auto" w:fill="E2EFD9" w:themeFill="accent6" w:themeFillTint="33"/>
          </w:tcPr>
          <w:p w14:paraId="2CC7DB9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w:t>
            </w:r>
            <w:proofErr w:type="spellStart"/>
            <w:r w:rsidRPr="00646A0A">
              <w:rPr>
                <w:rFonts w:cstheme="minorHAnsi"/>
                <w:color w:val="002060"/>
              </w:rPr>
              <w:t>investiţiei</w:t>
            </w:r>
            <w:proofErr w:type="spellEnd"/>
            <w:r w:rsidRPr="00646A0A">
              <w:rPr>
                <w:rFonts w:cstheme="minorHAnsi"/>
                <w:color w:val="002060"/>
              </w:rPr>
              <w:t xml:space="preserve"> în baza certificatului de performanță energetică care atestă utilizarea surselor de energie regenerabilă și a certificatului de </w:t>
            </w:r>
            <w:r w:rsidRPr="00646A0A">
              <w:rPr>
                <w:rFonts w:cstheme="minorHAnsi"/>
                <w:color w:val="002060"/>
              </w:rPr>
              <w:lastRenderedPageBreak/>
              <w:t xml:space="preserve">performanță energetică existent. </w:t>
            </w:r>
          </w:p>
        </w:tc>
        <w:tc>
          <w:tcPr>
            <w:tcW w:w="4320" w:type="dxa"/>
            <w:shd w:val="clear" w:color="auto" w:fill="E2EFD9" w:themeFill="accent6" w:themeFillTint="33"/>
          </w:tcPr>
          <w:p w14:paraId="0A402FB0" w14:textId="77777777" w:rsidR="00D479A3" w:rsidRPr="00646A0A" w:rsidRDefault="00D479A3" w:rsidP="00373D14">
            <w:pPr>
              <w:pStyle w:val="ListParagraph"/>
              <w:numPr>
                <w:ilvl w:val="0"/>
                <w:numId w:val="2"/>
              </w:numPr>
              <w:spacing w:before="60"/>
              <w:contextualSpacing w:val="0"/>
              <w:jc w:val="both"/>
              <w:rPr>
                <w:rFonts w:cstheme="minorHAnsi"/>
                <w:b/>
                <w:bCs/>
                <w:color w:val="002060"/>
              </w:rPr>
            </w:pPr>
            <w:r w:rsidRPr="00646A0A">
              <w:rPr>
                <w:rFonts w:cstheme="minorHAnsi"/>
                <w:b/>
                <w:bCs/>
                <w:color w:val="002060"/>
              </w:rPr>
              <w:lastRenderedPageBreak/>
              <w:t>Raportul SEA aferent PS</w:t>
            </w:r>
          </w:p>
          <w:p w14:paraId="5B7221C4" w14:textId="77777777" w:rsidR="00D479A3" w:rsidRPr="00646A0A" w:rsidRDefault="00D479A3" w:rsidP="00373D14">
            <w:pPr>
              <w:spacing w:before="60"/>
              <w:jc w:val="both"/>
              <w:rPr>
                <w:rFonts w:cstheme="minorHAnsi"/>
                <w:b/>
                <w:bCs/>
                <w:color w:val="002060"/>
              </w:rPr>
            </w:pPr>
          </w:p>
        </w:tc>
      </w:tr>
      <w:tr w:rsidR="00D479A3" w:rsidRPr="00646A0A" w14:paraId="206FFDC4" w14:textId="77777777" w:rsidTr="00D479A3">
        <w:tc>
          <w:tcPr>
            <w:tcW w:w="1890" w:type="dxa"/>
            <w:vMerge w:val="restart"/>
          </w:tcPr>
          <w:p w14:paraId="6ED952E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7110" w:type="dxa"/>
            <w:shd w:val="clear" w:color="auto" w:fill="E2EFD9" w:themeFill="accent6" w:themeFillTint="33"/>
          </w:tcPr>
          <w:p w14:paraId="224D5F1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D462883"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 xml:space="preserve">de exemplu (se pot implementa </w:t>
            </w:r>
            <w:proofErr w:type="spellStart"/>
            <w:r w:rsidRPr="00646A0A" w:rsidDel="008B3FB9">
              <w:rPr>
                <w:rFonts w:cstheme="minorHAnsi"/>
                <w:color w:val="002060"/>
              </w:rPr>
              <w:t>şi</w:t>
            </w:r>
            <w:proofErr w:type="spellEnd"/>
            <w:r w:rsidRPr="00646A0A" w:rsidDel="008B3FB9">
              <w:rPr>
                <w:rFonts w:cstheme="minorHAnsi"/>
                <w:color w:val="002060"/>
              </w:rPr>
              <w:t xml:space="preserve"> alte măsuri în funcție de particularitățile zonei):</w:t>
            </w:r>
          </w:p>
          <w:p w14:paraId="578CE8AE" w14:textId="77777777" w:rsidR="00D479A3" w:rsidRPr="00646A0A" w:rsidRDefault="00D479A3" w:rsidP="00373D14">
            <w:pPr>
              <w:pStyle w:val="ListParagraph"/>
              <w:numPr>
                <w:ilvl w:val="0"/>
                <w:numId w:val="13"/>
              </w:numPr>
              <w:spacing w:before="60"/>
              <w:contextualSpacing w:val="0"/>
              <w:jc w:val="both"/>
              <w:rPr>
                <w:rFonts w:cstheme="minorHAnsi"/>
                <w:b/>
                <w:bCs/>
                <w:color w:val="002060"/>
              </w:rPr>
            </w:pPr>
            <w:r w:rsidRPr="00646A0A">
              <w:rPr>
                <w:rFonts w:cstheme="minorHAnsi"/>
                <w:color w:val="002060"/>
              </w:rPr>
              <w:t xml:space="preserve">Proiectarea adecvată a clădirilor, folosind umbrirea, ventilația naturală </w:t>
            </w:r>
            <w:proofErr w:type="spellStart"/>
            <w:r w:rsidRPr="00646A0A">
              <w:rPr>
                <w:rFonts w:cstheme="minorHAnsi"/>
                <w:color w:val="002060"/>
              </w:rPr>
              <w:t>şi</w:t>
            </w:r>
            <w:proofErr w:type="spellEnd"/>
            <w:r w:rsidRPr="00646A0A">
              <w:rPr>
                <w:rFonts w:cstheme="minorHAnsi"/>
                <w:color w:val="002060"/>
              </w:rPr>
              <w:t xml:space="preserve"> o bună izolare termică;</w:t>
            </w:r>
          </w:p>
        </w:tc>
        <w:tc>
          <w:tcPr>
            <w:tcW w:w="1530" w:type="dxa"/>
            <w:shd w:val="clear" w:color="auto" w:fill="E2EFD9" w:themeFill="accent6" w:themeFillTint="33"/>
          </w:tcPr>
          <w:p w14:paraId="53C732C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1BF4C947"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18DA645D" w14:textId="538CF636"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în cadrul documentației </w:t>
            </w:r>
            <w:proofErr w:type="spellStart"/>
            <w:r w:rsidRPr="00646A0A">
              <w:rPr>
                <w:rFonts w:cstheme="minorHAnsi"/>
                <w:color w:val="002060"/>
              </w:rPr>
              <w:t>tehnico</w:t>
            </w:r>
            <w:proofErr w:type="spellEnd"/>
            <w:r w:rsidRPr="00646A0A">
              <w:rPr>
                <w:rFonts w:cstheme="minorHAnsi"/>
                <w:color w:val="002060"/>
              </w:rPr>
              <w:t xml:space="preserve"> economice a </w:t>
            </w:r>
            <w:r w:rsidR="009145F4" w:rsidRPr="00646A0A">
              <w:rPr>
                <w:rFonts w:cstheme="minorHAnsi"/>
                <w:color w:val="002060"/>
              </w:rPr>
              <w:t>soluției</w:t>
            </w:r>
            <w:r w:rsidRPr="00646A0A">
              <w:rPr>
                <w:rFonts w:cstheme="minorHAnsi"/>
                <w:color w:val="002060"/>
              </w:rPr>
              <w:t xml:space="preserve">. </w:t>
            </w:r>
          </w:p>
          <w:p w14:paraId="0D4906C6" w14:textId="77777777" w:rsidR="00D479A3" w:rsidRPr="00646A0A" w:rsidRDefault="00D479A3" w:rsidP="00373D14">
            <w:pPr>
              <w:spacing w:before="60"/>
              <w:jc w:val="both"/>
              <w:rPr>
                <w:rFonts w:cstheme="minorHAnsi"/>
                <w:color w:val="002060"/>
              </w:rPr>
            </w:pPr>
          </w:p>
          <w:p w14:paraId="45959C3E" w14:textId="77777777" w:rsidR="00D479A3" w:rsidRPr="00646A0A" w:rsidRDefault="00D479A3" w:rsidP="00373D14">
            <w:pPr>
              <w:spacing w:before="60"/>
              <w:jc w:val="both"/>
              <w:rPr>
                <w:rFonts w:cstheme="minorHAnsi"/>
                <w:color w:val="002060"/>
              </w:rPr>
            </w:pPr>
          </w:p>
          <w:p w14:paraId="1797C6D9" w14:textId="77777777" w:rsidR="00D479A3" w:rsidRPr="00646A0A" w:rsidRDefault="00D479A3" w:rsidP="00373D14">
            <w:pPr>
              <w:spacing w:before="60"/>
              <w:jc w:val="both"/>
              <w:rPr>
                <w:rFonts w:cstheme="minorHAnsi"/>
                <w:color w:val="002060"/>
              </w:rPr>
            </w:pPr>
          </w:p>
          <w:p w14:paraId="34B441E2" w14:textId="77777777" w:rsidR="00D479A3" w:rsidRPr="00646A0A" w:rsidRDefault="00D479A3" w:rsidP="00373D14">
            <w:pPr>
              <w:spacing w:before="60"/>
              <w:jc w:val="both"/>
              <w:rPr>
                <w:rFonts w:cstheme="minorHAnsi"/>
                <w:color w:val="002060"/>
              </w:rPr>
            </w:pPr>
          </w:p>
        </w:tc>
        <w:tc>
          <w:tcPr>
            <w:tcW w:w="2430" w:type="dxa"/>
            <w:shd w:val="clear" w:color="auto" w:fill="E2EFD9" w:themeFill="accent6" w:themeFillTint="33"/>
          </w:tcPr>
          <w:p w14:paraId="025046C9" w14:textId="77777777" w:rsidR="00D479A3" w:rsidRPr="00646A0A" w:rsidRDefault="00D479A3" w:rsidP="00373D14">
            <w:pPr>
              <w:spacing w:before="60"/>
              <w:jc w:val="both"/>
              <w:rPr>
                <w:rFonts w:cstheme="minorHAnsi"/>
                <w:color w:val="002060"/>
              </w:rPr>
            </w:pPr>
            <w:r w:rsidRPr="00646A0A">
              <w:rPr>
                <w:rFonts w:cstheme="minorHAnsi"/>
                <w:color w:val="002060"/>
              </w:rPr>
              <w:t>SF/DALI/PT + proces verbal de recepție la finalizarea lucrărilor</w:t>
            </w:r>
          </w:p>
        </w:tc>
        <w:tc>
          <w:tcPr>
            <w:tcW w:w="4320" w:type="dxa"/>
            <w:shd w:val="clear" w:color="auto" w:fill="E2EFD9" w:themeFill="accent6" w:themeFillTint="33"/>
          </w:tcPr>
          <w:p w14:paraId="5CB82BAA" w14:textId="77777777" w:rsidR="00D479A3" w:rsidRPr="00646A0A" w:rsidRDefault="00D479A3" w:rsidP="00373D14">
            <w:pPr>
              <w:spacing w:before="60"/>
              <w:jc w:val="both"/>
              <w:rPr>
                <w:rFonts w:cstheme="minorHAnsi"/>
                <w:color w:val="002060"/>
              </w:rPr>
            </w:pPr>
          </w:p>
        </w:tc>
      </w:tr>
      <w:tr w:rsidR="00D479A3" w:rsidRPr="00646A0A" w14:paraId="785A4272" w14:textId="77777777" w:rsidTr="00D479A3">
        <w:tc>
          <w:tcPr>
            <w:tcW w:w="1890" w:type="dxa"/>
            <w:vMerge/>
          </w:tcPr>
          <w:p w14:paraId="03670CFE"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6A1603" w14:textId="1AABA779" w:rsidR="00D479A3" w:rsidRPr="000049F1" w:rsidRDefault="00D479A3" w:rsidP="00373D14">
            <w:pPr>
              <w:spacing w:before="60"/>
              <w:jc w:val="both"/>
              <w:rPr>
                <w:rFonts w:cstheme="minorHAnsi"/>
                <w:color w:val="002060"/>
              </w:rPr>
            </w:pPr>
            <w:r w:rsidRPr="000049F1">
              <w:rPr>
                <w:rFonts w:cstheme="minorHAnsi"/>
                <w:color w:val="002060"/>
              </w:rPr>
              <w:t>Sistemele tehnice ale clădirilor trebuie s</w:t>
            </w:r>
            <w:r w:rsidR="007C43DA">
              <w:rPr>
                <w:rFonts w:cstheme="minorHAnsi"/>
                <w:color w:val="002060"/>
              </w:rPr>
              <w:t>ă</w:t>
            </w:r>
            <w:r w:rsidRPr="000049F1">
              <w:rPr>
                <w:rFonts w:cstheme="minorHAnsi"/>
                <w:color w:val="002060"/>
              </w:rPr>
              <w:t xml:space="preserve"> fie optimizate pentru a oferi confort termic ocupanților chiar și în temperaturile extreme respective.</w:t>
            </w:r>
          </w:p>
        </w:tc>
        <w:tc>
          <w:tcPr>
            <w:tcW w:w="1530" w:type="dxa"/>
            <w:shd w:val="clear" w:color="auto" w:fill="FBE4D5" w:themeFill="accent2" w:themeFillTint="33"/>
          </w:tcPr>
          <w:p w14:paraId="37DB2B3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6E1674D6" w14:textId="074E2FE8" w:rsidR="00D479A3" w:rsidRPr="00646A0A" w:rsidRDefault="00D479A3" w:rsidP="00373D14">
            <w:pPr>
              <w:spacing w:before="60"/>
              <w:jc w:val="both"/>
              <w:rPr>
                <w:rFonts w:cstheme="minorHAnsi"/>
                <w:color w:val="002060"/>
              </w:rPr>
            </w:pPr>
            <w:r w:rsidRPr="00646A0A">
              <w:rPr>
                <w:rFonts w:cstheme="minorHAnsi"/>
                <w:color w:val="002060"/>
              </w:rPr>
              <w:t xml:space="preserve">Cerință este îndeplinită dacă în documentațiile </w:t>
            </w:r>
            <w:proofErr w:type="spellStart"/>
            <w:r w:rsidRPr="00646A0A">
              <w:rPr>
                <w:rFonts w:cstheme="minorHAnsi"/>
                <w:color w:val="002060"/>
              </w:rPr>
              <w:t>tehnico</w:t>
            </w:r>
            <w:proofErr w:type="spellEnd"/>
            <w:r w:rsidRPr="00646A0A">
              <w:rPr>
                <w:rFonts w:cstheme="minorHAnsi"/>
                <w:color w:val="002060"/>
              </w:rPr>
              <w:t xml:space="preserve"> economice au fost incluse acțiuni pentru asigurarea confortului termic al ocupanților chiar și în contextul unor temperaturile extreme.</w:t>
            </w:r>
          </w:p>
        </w:tc>
        <w:tc>
          <w:tcPr>
            <w:tcW w:w="2430" w:type="dxa"/>
            <w:shd w:val="clear" w:color="auto" w:fill="FBE4D5" w:themeFill="accent2" w:themeFillTint="33"/>
          </w:tcPr>
          <w:p w14:paraId="6E8D1FF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37111CA1"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26841FBC" w14:textId="77777777" w:rsidR="00D479A3" w:rsidRPr="00646A0A" w:rsidRDefault="00D479A3" w:rsidP="00373D14">
            <w:pPr>
              <w:spacing w:before="60"/>
              <w:jc w:val="both"/>
              <w:rPr>
                <w:rFonts w:cstheme="minorHAnsi"/>
                <w:color w:val="002060"/>
              </w:rPr>
            </w:pPr>
          </w:p>
          <w:p w14:paraId="35C24192" w14:textId="77777777" w:rsidR="00D479A3" w:rsidRPr="00646A0A" w:rsidRDefault="00D479A3" w:rsidP="00373D14">
            <w:pPr>
              <w:spacing w:before="60"/>
              <w:jc w:val="both"/>
              <w:rPr>
                <w:rFonts w:cstheme="minorHAnsi"/>
                <w:color w:val="002060"/>
              </w:rPr>
            </w:pPr>
          </w:p>
        </w:tc>
      </w:tr>
      <w:tr w:rsidR="00D479A3" w:rsidRPr="00646A0A" w14:paraId="6D5B4B71" w14:textId="77777777" w:rsidTr="00D479A3">
        <w:tc>
          <w:tcPr>
            <w:tcW w:w="1890" w:type="dxa"/>
            <w:vMerge w:val="restart"/>
          </w:tcPr>
          <w:p w14:paraId="26B5D1D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7110" w:type="dxa"/>
            <w:shd w:val="clear" w:color="auto" w:fill="FBE4D5" w:themeFill="accent2" w:themeFillTint="33"/>
          </w:tcPr>
          <w:p w14:paraId="28408392" w14:textId="77777777" w:rsidR="00D479A3" w:rsidRPr="000049F1" w:rsidRDefault="00D479A3" w:rsidP="00373D14">
            <w:pPr>
              <w:spacing w:before="60"/>
              <w:jc w:val="both"/>
              <w:rPr>
                <w:rFonts w:cstheme="minorHAnsi"/>
                <w:color w:val="002060"/>
              </w:rPr>
            </w:pPr>
            <w:r w:rsidRPr="000049F1">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FBE4D5" w:themeFill="accent2" w:themeFillTint="33"/>
          </w:tcPr>
          <w:p w14:paraId="4E0436A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2B2855C"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FBE4D5" w:themeFill="accent2" w:themeFillTint="33"/>
          </w:tcPr>
          <w:p w14:paraId="65B2CD39"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1777E365"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11260295" w14:textId="77777777" w:rsidTr="00D479A3">
        <w:tc>
          <w:tcPr>
            <w:tcW w:w="1890" w:type="dxa"/>
            <w:vMerge/>
          </w:tcPr>
          <w:p w14:paraId="626A1F4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1C3E5F3A"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646A0A" w:rsidRDefault="00D479A3" w:rsidP="00373D14">
            <w:pPr>
              <w:spacing w:before="60"/>
              <w:jc w:val="both"/>
              <w:rPr>
                <w:rFonts w:cstheme="minorHAnsi"/>
                <w:color w:val="002060"/>
              </w:rPr>
            </w:pPr>
          </w:p>
          <w:p w14:paraId="3C9DAC3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07E4472C"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5B8B1543"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01BB809D"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1141AF46" w14:textId="77777777" w:rsidR="00D479A3" w:rsidRPr="00646A0A" w:rsidRDefault="00D479A3" w:rsidP="00373D14">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1FEDD8AA" w14:textId="77777777" w:rsidR="00D479A3" w:rsidRPr="00646A0A" w:rsidRDefault="00D479A3" w:rsidP="00373D14">
            <w:pPr>
              <w:spacing w:before="60"/>
              <w:jc w:val="both"/>
              <w:rPr>
                <w:rFonts w:cstheme="minorHAnsi"/>
                <w:color w:val="002060"/>
              </w:rPr>
            </w:pPr>
          </w:p>
          <w:p w14:paraId="029DC023"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78E0B20A"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1. Debitul se înregistrează la presiunea standard de referință de 3 -0/+ 0,2 bari sau de 0,1 -0/+0,02 pentru produsele limitate la presiune joasă.</w:t>
            </w:r>
          </w:p>
          <w:p w14:paraId="5F1B13BB" w14:textId="77777777" w:rsidR="00D479A3" w:rsidRPr="00646A0A" w:rsidRDefault="00D479A3" w:rsidP="00373D14">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2CD0E5A5"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6506B651"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4D8D374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3D8EE102"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FBE4D5" w:themeFill="accent2" w:themeFillTint="33"/>
          </w:tcPr>
          <w:p w14:paraId="11C50FC4"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FFA913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Cerința este îndeplinită dacă în cadrul SF/ DALI/ PT sunt incluse </w:t>
            </w:r>
            <w:proofErr w:type="spellStart"/>
            <w:r w:rsidRPr="00646A0A">
              <w:rPr>
                <w:rFonts w:cstheme="minorHAnsi"/>
                <w:color w:val="002060"/>
              </w:rPr>
              <w:t>cerinţele</w:t>
            </w:r>
            <w:proofErr w:type="spellEnd"/>
            <w:r w:rsidRPr="00646A0A">
              <w:rPr>
                <w:rFonts w:cstheme="minorHAnsi"/>
                <w:color w:val="002060"/>
              </w:rPr>
              <w:t xml:space="preserve"> și specificațiile tehnice pentru dispozitive consumatoare de apă.</w:t>
            </w:r>
          </w:p>
        </w:tc>
        <w:tc>
          <w:tcPr>
            <w:tcW w:w="2430" w:type="dxa"/>
            <w:shd w:val="clear" w:color="auto" w:fill="FBE4D5" w:themeFill="accent2" w:themeFillTint="33"/>
          </w:tcPr>
          <w:p w14:paraId="5AA1E1F7"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70D40739" w14:textId="3726138D" w:rsidR="00D479A3" w:rsidRPr="00D659E9" w:rsidRDefault="00D479A3"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659E9" w:rsidRPr="00646A0A" w14:paraId="0E297E0D" w14:textId="77777777" w:rsidTr="00D479A3">
        <w:tc>
          <w:tcPr>
            <w:tcW w:w="1890" w:type="dxa"/>
            <w:vMerge/>
          </w:tcPr>
          <w:p w14:paraId="7A3DBEC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DCBEDE5"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037246BB" w14:textId="77777777" w:rsidR="00D659E9" w:rsidRPr="00646A0A" w:rsidRDefault="00D659E9" w:rsidP="00D659E9">
            <w:pPr>
              <w:spacing w:before="6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646A0A" w:rsidRDefault="00D659E9" w:rsidP="00D659E9">
            <w:pPr>
              <w:spacing w:before="6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FBE4D5" w:themeFill="accent2" w:themeFillTint="33"/>
          </w:tcPr>
          <w:p w14:paraId="52A4C338"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15E2170F"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FBE4D5" w:themeFill="accent2" w:themeFillTint="33"/>
          </w:tcPr>
          <w:p w14:paraId="1D9B5A84"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6BEC390A"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4320" w:type="dxa"/>
            <w:shd w:val="clear" w:color="auto" w:fill="FBE4D5" w:themeFill="accent2" w:themeFillTint="33"/>
          </w:tcPr>
          <w:p w14:paraId="2B9B451B" w14:textId="77777777" w:rsidR="00D659E9" w:rsidRPr="00646A0A" w:rsidRDefault="00D659E9"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Legea Ape</w:t>
            </w:r>
            <w:r>
              <w:rPr>
                <w:rFonts w:cstheme="minorHAnsi"/>
                <w:color w:val="002060"/>
              </w:rPr>
              <w:t>lor</w:t>
            </w:r>
            <w:r w:rsidRPr="00646A0A">
              <w:rPr>
                <w:rFonts w:cstheme="minorHAnsi"/>
                <w:color w:val="002060"/>
              </w:rPr>
              <w:t xml:space="preserve"> nr. 107/1996;</w:t>
            </w:r>
          </w:p>
          <w:p w14:paraId="3F828B5E" w14:textId="7EB6F6B8" w:rsidR="00D659E9" w:rsidRPr="00646A0A" w:rsidRDefault="00D659E9" w:rsidP="00D659E9">
            <w:pPr>
              <w:pStyle w:val="ListParagraph"/>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D659E9" w:rsidRPr="00646A0A" w14:paraId="6F5C0466" w14:textId="77777777" w:rsidTr="00D479A3">
        <w:trPr>
          <w:trHeight w:val="1117"/>
        </w:trPr>
        <w:tc>
          <w:tcPr>
            <w:tcW w:w="1890" w:type="dxa"/>
            <w:vMerge w:val="restart"/>
          </w:tcPr>
          <w:p w14:paraId="0F1D7A40" w14:textId="77777777" w:rsidR="00D659E9" w:rsidRPr="00646A0A" w:rsidRDefault="00D659E9" w:rsidP="00D659E9">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7110" w:type="dxa"/>
            <w:shd w:val="clear" w:color="auto" w:fill="FBE4D5" w:themeFill="accent2" w:themeFillTint="33"/>
          </w:tcPr>
          <w:p w14:paraId="78E79C6C"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0049F1" w:rsidRDefault="00D659E9" w:rsidP="00D659E9">
            <w:pPr>
              <w:spacing w:before="60"/>
              <w:jc w:val="both"/>
              <w:rPr>
                <w:rFonts w:cstheme="minorHAnsi"/>
                <w:color w:val="002060"/>
              </w:rPr>
            </w:pPr>
            <w:r w:rsidRPr="000049F1">
              <w:rPr>
                <w:rFonts w:cstheme="minorHAnsi"/>
                <w:color w:val="002060"/>
              </w:rPr>
              <w:t xml:space="preserve">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w:t>
            </w:r>
            <w:r w:rsidRPr="000049F1">
              <w:rPr>
                <w:rFonts w:cstheme="minorHAnsi"/>
                <w:color w:val="002060"/>
              </w:rPr>
              <w:lastRenderedPageBreak/>
              <w:t>conformitate cu ierarhia deșeurilor și cu Protocolul UE de gestionare a deșeurilor din construcții și demolări.</w:t>
            </w:r>
          </w:p>
        </w:tc>
        <w:tc>
          <w:tcPr>
            <w:tcW w:w="1530" w:type="dxa"/>
            <w:shd w:val="clear" w:color="auto" w:fill="FBE4D5" w:themeFill="accent2" w:themeFillTint="33"/>
          </w:tcPr>
          <w:p w14:paraId="1A104581" w14:textId="77777777" w:rsidR="00D659E9" w:rsidRPr="00646A0A" w:rsidRDefault="00D659E9" w:rsidP="00D659E9">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7D471A29"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BC38EDB"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FBE4D5" w:themeFill="accent2" w:themeFillTint="33"/>
          </w:tcPr>
          <w:p w14:paraId="084C3A0F" w14:textId="72870156" w:rsidR="00D659E9" w:rsidRPr="00646A0A" w:rsidRDefault="00D659E9" w:rsidP="00D659E9">
            <w:pPr>
              <w:pStyle w:val="ListParagraph"/>
              <w:numPr>
                <w:ilvl w:val="0"/>
                <w:numId w:val="17"/>
              </w:numPr>
              <w:spacing w:before="60"/>
              <w:contextualSpacing w:val="0"/>
              <w:jc w:val="both"/>
              <w:rPr>
                <w:rFonts w:cstheme="minorHAnsi"/>
                <w:color w:val="002060"/>
              </w:rPr>
            </w:pPr>
            <w:r w:rsidRPr="00646A0A">
              <w:rPr>
                <w:rFonts w:cstheme="minorHAnsi"/>
                <w:color w:val="002060"/>
              </w:rPr>
              <w:t xml:space="preserve">Ordonanță de urgență </w:t>
            </w:r>
            <w:r>
              <w:rPr>
                <w:rFonts w:cstheme="minorHAnsi"/>
                <w:color w:val="002060"/>
              </w:rPr>
              <w:t xml:space="preserve">a Guvernului </w:t>
            </w:r>
            <w:r w:rsidRPr="00646A0A">
              <w:rPr>
                <w:rFonts w:cstheme="minorHAnsi"/>
                <w:color w:val="002060"/>
              </w:rPr>
              <w:t>nr. 92 din 19 august 2021 privind regimul deșeurilor art. 17</w:t>
            </w:r>
          </w:p>
        </w:tc>
      </w:tr>
      <w:tr w:rsidR="00D479A3" w:rsidRPr="00646A0A" w14:paraId="7D594A96" w14:textId="77777777" w:rsidTr="00D479A3">
        <w:tc>
          <w:tcPr>
            <w:tcW w:w="1890" w:type="dxa"/>
            <w:vMerge/>
          </w:tcPr>
          <w:p w14:paraId="3821AAA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E9D7ECB"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w:t>
            </w:r>
            <w:proofErr w:type="spellStart"/>
            <w:r w:rsidRPr="000049F1">
              <w:rPr>
                <w:rFonts w:cstheme="minorHAnsi"/>
                <w:color w:val="002060"/>
              </w:rPr>
              <w:t>şi</w:t>
            </w:r>
            <w:proofErr w:type="spellEnd"/>
            <w:r w:rsidRPr="000049F1">
              <w:rPr>
                <w:rFonts w:cstheme="minorHAnsi"/>
                <w:color w:val="002060"/>
              </w:rPr>
              <w:t xml:space="preserve"> reciclare a deșeurilor) din </w:t>
            </w:r>
            <w:proofErr w:type="spellStart"/>
            <w:r w:rsidRPr="000049F1">
              <w:rPr>
                <w:rFonts w:cstheme="minorHAnsi"/>
                <w:color w:val="002060"/>
              </w:rPr>
              <w:t>construcţii</w:t>
            </w:r>
            <w:proofErr w:type="spellEnd"/>
            <w:r w:rsidRPr="000049F1">
              <w:rPr>
                <w:rFonts w:cstheme="minorHAnsi"/>
                <w:color w:val="002060"/>
              </w:rPr>
              <w:t xml:space="preserve"> </w:t>
            </w:r>
            <w:proofErr w:type="spellStart"/>
            <w:r w:rsidRPr="000049F1">
              <w:rPr>
                <w:rFonts w:cstheme="minorHAnsi"/>
                <w:color w:val="002060"/>
              </w:rPr>
              <w:t>şi</w:t>
            </w:r>
            <w:proofErr w:type="spellEnd"/>
            <w:r w:rsidRPr="000049F1">
              <w:rPr>
                <w:rFonts w:cstheme="minorHAnsi"/>
                <w:color w:val="002060"/>
              </w:rPr>
              <w:t xml:space="preserve"> demolări, ce sunt generate la implementarea proiectelor subsecvente PS, se vor solicita documente justificative privind trasabilitatea deșeurilor (predarea lor către entități abilitate conform legii să gestioneze acest tip de deșeuri) </w:t>
            </w:r>
            <w:proofErr w:type="spellStart"/>
            <w:r w:rsidRPr="000049F1">
              <w:rPr>
                <w:rFonts w:cstheme="minorHAnsi"/>
                <w:color w:val="002060"/>
              </w:rPr>
              <w:t>şi</w:t>
            </w:r>
            <w:proofErr w:type="spellEnd"/>
            <w:r w:rsidRPr="000049F1">
              <w:rPr>
                <w:rFonts w:cstheme="minorHAnsi"/>
                <w:color w:val="002060"/>
              </w:rPr>
              <w:t xml:space="preserve"> metoda de gestionare a acestora (reutilizare/reciclare/eliminare)</w:t>
            </w:r>
          </w:p>
        </w:tc>
        <w:tc>
          <w:tcPr>
            <w:tcW w:w="1530" w:type="dxa"/>
            <w:shd w:val="clear" w:color="auto" w:fill="FBE4D5" w:themeFill="accent2" w:themeFillTint="33"/>
          </w:tcPr>
          <w:p w14:paraId="7B162AAD"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C7035A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7C6CC17"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4320" w:type="dxa"/>
            <w:shd w:val="clear" w:color="auto" w:fill="FBE4D5" w:themeFill="accent2" w:themeFillTint="33"/>
          </w:tcPr>
          <w:p w14:paraId="40905D55" w14:textId="56C98359" w:rsidR="00D479A3" w:rsidRPr="00646A0A" w:rsidRDefault="00D06AC5" w:rsidP="00373D14">
            <w:pPr>
              <w:pStyle w:val="ListParagraph"/>
              <w:numPr>
                <w:ilvl w:val="0"/>
                <w:numId w:val="16"/>
              </w:numPr>
              <w:spacing w:before="60"/>
              <w:contextualSpacing w:val="0"/>
              <w:jc w:val="both"/>
              <w:rPr>
                <w:rFonts w:cstheme="minorHAnsi"/>
                <w:color w:val="002060"/>
              </w:rPr>
            </w:pPr>
            <w:r w:rsidRPr="00646A0A">
              <w:rPr>
                <w:rFonts w:cstheme="minorHAnsi"/>
                <w:color w:val="002060"/>
              </w:rPr>
              <w:t>Ordonanț</w:t>
            </w:r>
            <w:r w:rsidR="006C65D6">
              <w:rPr>
                <w:rFonts w:cstheme="minorHAnsi"/>
                <w:color w:val="002060"/>
              </w:rPr>
              <w:t>a</w:t>
            </w:r>
            <w:r w:rsidRPr="00646A0A">
              <w:rPr>
                <w:rFonts w:cstheme="minorHAnsi"/>
                <w:color w:val="002060"/>
              </w:rPr>
              <w:t xml:space="preserve"> de urgență </w:t>
            </w:r>
            <w:r>
              <w:rPr>
                <w:rFonts w:cstheme="minorHAnsi"/>
                <w:color w:val="002060"/>
              </w:rPr>
              <w:t xml:space="preserve">a Guvernului </w:t>
            </w:r>
            <w:r w:rsidR="00D479A3" w:rsidRPr="00646A0A">
              <w:rPr>
                <w:rFonts w:cstheme="minorHAnsi"/>
                <w:color w:val="002060"/>
              </w:rPr>
              <w:t>nr. 92 din 19 august 2021 privind regimul deșeurilor art. 48)</w:t>
            </w:r>
          </w:p>
        </w:tc>
      </w:tr>
      <w:tr w:rsidR="00D479A3" w:rsidRPr="00646A0A" w14:paraId="49D0BD13" w14:textId="77777777" w:rsidTr="00D479A3">
        <w:tc>
          <w:tcPr>
            <w:tcW w:w="1890" w:type="dxa"/>
            <w:vMerge/>
          </w:tcPr>
          <w:p w14:paraId="658F4BF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4562E72D" w14:textId="77777777" w:rsidR="00D479A3" w:rsidRPr="000049F1" w:rsidRDefault="00D479A3" w:rsidP="00373D14">
            <w:pPr>
              <w:spacing w:before="60"/>
              <w:jc w:val="both"/>
              <w:rPr>
                <w:rFonts w:cstheme="minorHAnsi"/>
                <w:color w:val="002060"/>
              </w:rPr>
            </w:pPr>
            <w:r w:rsidRPr="000049F1">
              <w:rPr>
                <w:rFonts w:cstheme="minorHAnsi"/>
                <w:color w:val="002060"/>
              </w:rPr>
              <w:t>Se vor respecta normele privind reciclarea, selectarea colectiva si cea aferentă desișurilor medicale generate ulterior finalizării investițiilor în conformitate cu prevederile legislației naționale aplicabile în vigoare.</w:t>
            </w:r>
          </w:p>
        </w:tc>
        <w:tc>
          <w:tcPr>
            <w:tcW w:w="1530" w:type="dxa"/>
            <w:shd w:val="clear" w:color="auto" w:fill="FBE4D5" w:themeFill="accent2" w:themeFillTint="33"/>
          </w:tcPr>
          <w:p w14:paraId="7E4B8103"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1A13DD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11CEFE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Verificarea respectării </w:t>
            </w:r>
            <w:proofErr w:type="spellStart"/>
            <w:r w:rsidRPr="00646A0A">
              <w:rPr>
                <w:rFonts w:cstheme="minorHAnsi"/>
                <w:color w:val="002060"/>
              </w:rPr>
              <w:t>legislaţiei</w:t>
            </w:r>
            <w:proofErr w:type="spellEnd"/>
            <w:r w:rsidRPr="00646A0A">
              <w:rPr>
                <w:rFonts w:cstheme="minorHAnsi"/>
                <w:color w:val="002060"/>
              </w:rPr>
              <w:t xml:space="preserve"> aplicabile</w:t>
            </w:r>
          </w:p>
        </w:tc>
        <w:tc>
          <w:tcPr>
            <w:tcW w:w="4320" w:type="dxa"/>
            <w:shd w:val="clear" w:color="auto" w:fill="FBE4D5" w:themeFill="accent2" w:themeFillTint="33"/>
          </w:tcPr>
          <w:p w14:paraId="4D121587" w14:textId="4574957D" w:rsidR="00D479A3" w:rsidRPr="00646A0A" w:rsidRDefault="006C65D6" w:rsidP="00373D14">
            <w:pPr>
              <w:pStyle w:val="ListParagraph"/>
              <w:numPr>
                <w:ilvl w:val="0"/>
                <w:numId w:val="14"/>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1910AF91" w14:textId="77777777" w:rsidTr="00D479A3">
        <w:tc>
          <w:tcPr>
            <w:tcW w:w="1890" w:type="dxa"/>
            <w:vMerge/>
          </w:tcPr>
          <w:p w14:paraId="67F2645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900EAD2"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1530" w:type="dxa"/>
            <w:shd w:val="clear" w:color="auto" w:fill="FBE4D5" w:themeFill="accent2" w:themeFillTint="33"/>
          </w:tcPr>
          <w:p w14:paraId="133D6C7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6777DA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11B6640"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4320" w:type="dxa"/>
            <w:shd w:val="clear" w:color="auto" w:fill="FBE4D5" w:themeFill="accent2" w:themeFillTint="33"/>
          </w:tcPr>
          <w:p w14:paraId="332E7A25"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92BB1B" w14:textId="77777777" w:rsidTr="00D479A3">
        <w:tc>
          <w:tcPr>
            <w:tcW w:w="1890" w:type="dxa"/>
            <w:vMerge/>
          </w:tcPr>
          <w:p w14:paraId="302C0426"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A801A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FBE4D5" w:themeFill="accent2" w:themeFillTint="33"/>
          </w:tcPr>
          <w:p w14:paraId="7F54CB1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3014178" w14:textId="0FE527E9" w:rsidR="00D479A3" w:rsidRPr="00646A0A" w:rsidRDefault="007E3A06"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239974D"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FBE4D5" w:themeFill="accent2" w:themeFillTint="33"/>
          </w:tcPr>
          <w:p w14:paraId="466E1E71"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3EA75EE3" w14:textId="77777777" w:rsidTr="00D479A3">
        <w:tc>
          <w:tcPr>
            <w:tcW w:w="1890" w:type="dxa"/>
            <w:vMerge/>
          </w:tcPr>
          <w:p w14:paraId="234572D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3A544B7F"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1530" w:type="dxa"/>
            <w:shd w:val="clear" w:color="auto" w:fill="FBE4D5" w:themeFill="accent2" w:themeFillTint="33"/>
          </w:tcPr>
          <w:p w14:paraId="4EE11E5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D564D0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62D588FD"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4320" w:type="dxa"/>
            <w:shd w:val="clear" w:color="auto" w:fill="FBE4D5" w:themeFill="accent2" w:themeFillTint="33"/>
          </w:tcPr>
          <w:p w14:paraId="34F53963"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0B520FF4" w14:textId="77777777" w:rsidTr="00D479A3">
        <w:tc>
          <w:tcPr>
            <w:tcW w:w="1890" w:type="dxa"/>
            <w:vMerge/>
          </w:tcPr>
          <w:p w14:paraId="35EFEEBA" w14:textId="77777777" w:rsidR="00D479A3" w:rsidRPr="00646A0A" w:rsidRDefault="00D479A3" w:rsidP="00373D14">
            <w:pPr>
              <w:spacing w:before="60"/>
              <w:jc w:val="both"/>
              <w:rPr>
                <w:rFonts w:cstheme="minorHAnsi"/>
                <w:color w:val="002060"/>
              </w:rPr>
            </w:pPr>
          </w:p>
        </w:tc>
        <w:tc>
          <w:tcPr>
            <w:tcW w:w="7110" w:type="dxa"/>
            <w:shd w:val="clear" w:color="auto" w:fill="E2EFD9" w:themeFill="accent6" w:themeFillTint="33"/>
          </w:tcPr>
          <w:p w14:paraId="50A61B41"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w:t>
            </w:r>
            <w:r w:rsidRPr="00646A0A">
              <w:rPr>
                <w:rFonts w:cstheme="minorHAnsi"/>
                <w:color w:val="002060"/>
              </w:rPr>
              <w:lastRenderedPageBreak/>
              <w:t>vedere al utilizării resurselor, adaptabile, flexibile și demontabile pentru a permite reutilizarea și reciclarea.</w:t>
            </w:r>
          </w:p>
        </w:tc>
        <w:tc>
          <w:tcPr>
            <w:tcW w:w="1530" w:type="dxa"/>
            <w:shd w:val="clear" w:color="auto" w:fill="E2EFD9" w:themeFill="accent6" w:themeFillTint="33"/>
          </w:tcPr>
          <w:p w14:paraId="0F70639C"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Cerință de selecție</w:t>
            </w:r>
          </w:p>
        </w:tc>
        <w:tc>
          <w:tcPr>
            <w:tcW w:w="3600" w:type="dxa"/>
            <w:shd w:val="clear" w:color="auto" w:fill="E2EFD9" w:themeFill="accent6" w:themeFillTint="33"/>
          </w:tcPr>
          <w:p w14:paraId="65AA06B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acordă punctaj suplimentar dacă, în cadrul documentației </w:t>
            </w:r>
            <w:proofErr w:type="spellStart"/>
            <w:r w:rsidRPr="00646A0A">
              <w:rPr>
                <w:rFonts w:cstheme="minorHAnsi"/>
                <w:color w:val="002060"/>
              </w:rPr>
              <w:t>tehnico</w:t>
            </w:r>
            <w:proofErr w:type="spellEnd"/>
            <w:r w:rsidRPr="00646A0A">
              <w:rPr>
                <w:rFonts w:cstheme="minorHAnsi"/>
                <w:color w:val="002060"/>
              </w:rPr>
              <w:t xml:space="preserve"> economice sunt incluse elemente care sprijină circularitatea în conformitate </w:t>
            </w:r>
            <w:r w:rsidRPr="00646A0A">
              <w:rPr>
                <w:rFonts w:cstheme="minorHAnsi"/>
                <w:color w:val="002060"/>
              </w:rPr>
              <w:lastRenderedPageBreak/>
              <w:t>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2430" w:type="dxa"/>
            <w:shd w:val="clear" w:color="auto" w:fill="E2EFD9" w:themeFill="accent6" w:themeFillTint="33"/>
          </w:tcPr>
          <w:p w14:paraId="46D0EA1B" w14:textId="77777777" w:rsidR="00D479A3" w:rsidRPr="00646A0A" w:rsidRDefault="00D479A3" w:rsidP="00373D14">
            <w:pPr>
              <w:spacing w:before="60"/>
              <w:jc w:val="both"/>
              <w:rPr>
                <w:rFonts w:cstheme="minorHAnsi"/>
                <w:b/>
                <w:bCs/>
                <w:color w:val="002060"/>
              </w:rPr>
            </w:pPr>
            <w:r w:rsidRPr="00646A0A">
              <w:rPr>
                <w:rFonts w:cstheme="minorHAnsi"/>
                <w:color w:val="002060"/>
              </w:rPr>
              <w:lastRenderedPageBreak/>
              <w:t xml:space="preserve">Includerea în SF - Tabel sumar - Memoriul tehnic a cerințelor/standardelor </w:t>
            </w:r>
            <w:r w:rsidRPr="00646A0A">
              <w:rPr>
                <w:rFonts w:cstheme="minorHAnsi"/>
                <w:color w:val="002060"/>
              </w:rPr>
              <w:lastRenderedPageBreak/>
              <w:t>privind dezasamblarea sau a adaptabilității clădirilor</w:t>
            </w:r>
          </w:p>
        </w:tc>
        <w:tc>
          <w:tcPr>
            <w:tcW w:w="4320" w:type="dxa"/>
            <w:shd w:val="clear" w:color="auto" w:fill="E2EFD9" w:themeFill="accent6" w:themeFillTint="33"/>
          </w:tcPr>
          <w:p w14:paraId="57B1F429"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lastRenderedPageBreak/>
              <w:t>Regulamentul delegat (UE) c(2021)2800 al comisiei din 4.6.2021</w:t>
            </w:r>
          </w:p>
          <w:p w14:paraId="60F0A761" w14:textId="77777777" w:rsidR="00D479A3" w:rsidRPr="00646A0A" w:rsidRDefault="00D479A3" w:rsidP="00373D14">
            <w:pPr>
              <w:spacing w:before="60"/>
              <w:jc w:val="both"/>
              <w:rPr>
                <w:rFonts w:cstheme="minorHAnsi"/>
                <w:color w:val="002060"/>
              </w:rPr>
            </w:pPr>
          </w:p>
        </w:tc>
      </w:tr>
      <w:tr w:rsidR="00D479A3" w:rsidRPr="00646A0A" w14:paraId="54444F3B" w14:textId="77777777" w:rsidTr="00D479A3">
        <w:tc>
          <w:tcPr>
            <w:tcW w:w="1890" w:type="dxa"/>
            <w:vMerge/>
          </w:tcPr>
          <w:p w14:paraId="663AC3B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772B5D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6B6F710" w14:textId="77777777" w:rsidR="00D479A3" w:rsidRPr="00646A0A" w:rsidRDefault="00000000" w:rsidP="00373D14">
            <w:pPr>
              <w:spacing w:before="60"/>
              <w:jc w:val="both"/>
              <w:rPr>
                <w:rFonts w:cstheme="minorHAnsi"/>
                <w:b/>
                <w:bCs/>
                <w:color w:val="002060"/>
              </w:rPr>
            </w:pPr>
            <w:hyperlink r:id="rId8"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3430E15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w:t>
            </w:r>
            <w:proofErr w:type="spellStart"/>
            <w:r w:rsidRPr="00646A0A">
              <w:rPr>
                <w:rFonts w:cstheme="minorHAnsi"/>
                <w:color w:val="002060"/>
              </w:rPr>
              <w:t>şi</w:t>
            </w:r>
            <w:proofErr w:type="spellEnd"/>
            <w:r w:rsidRPr="00646A0A">
              <w:rPr>
                <w:rFonts w:cstheme="minorHAnsi"/>
                <w:color w:val="002060"/>
              </w:rPr>
              <w:t xml:space="preserve"> de acțiune care să conducă la simplificarea </w:t>
            </w:r>
            <w:proofErr w:type="spellStart"/>
            <w:r w:rsidRPr="00646A0A">
              <w:rPr>
                <w:rFonts w:cstheme="minorHAnsi"/>
                <w:color w:val="002060"/>
              </w:rPr>
              <w:t>şi</w:t>
            </w:r>
            <w:proofErr w:type="spellEnd"/>
            <w:r w:rsidRPr="00646A0A">
              <w:rPr>
                <w:rFonts w:cstheme="minorHAnsi"/>
                <w:color w:val="002060"/>
              </w:rPr>
              <w:t xml:space="preserve"> </w:t>
            </w:r>
            <w:r w:rsidRPr="00646A0A">
              <w:rPr>
                <w:rFonts w:cstheme="minorHAnsi"/>
                <w:b/>
                <w:bCs/>
                <w:color w:val="002060"/>
              </w:rPr>
              <w:t>eficientizarea procedurilor de recuperare a medicamentelor expirate de la populație.</w:t>
            </w:r>
          </w:p>
        </w:tc>
        <w:tc>
          <w:tcPr>
            <w:tcW w:w="1530" w:type="dxa"/>
            <w:shd w:val="clear" w:color="auto" w:fill="FBE4D5" w:themeFill="accent2" w:themeFillTint="33"/>
          </w:tcPr>
          <w:p w14:paraId="524116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5F7D5F4"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FD7B454"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4320" w:type="dxa"/>
            <w:shd w:val="clear" w:color="auto" w:fill="FBE4D5" w:themeFill="accent2" w:themeFillTint="33"/>
          </w:tcPr>
          <w:p w14:paraId="012DC752" w14:textId="77777777" w:rsidR="00D479A3" w:rsidRPr="00646A0A" w:rsidRDefault="00D479A3" w:rsidP="00373D14">
            <w:pPr>
              <w:spacing w:before="60"/>
              <w:jc w:val="both"/>
              <w:rPr>
                <w:rFonts w:cstheme="minorHAnsi"/>
                <w:color w:val="002060"/>
              </w:rPr>
            </w:pPr>
            <w:r w:rsidRPr="00646A0A">
              <w:rPr>
                <w:rFonts w:cstheme="minorHAnsi"/>
                <w:color w:val="002060"/>
              </w:rPr>
              <w:t>Raportul SEA aferent PS</w:t>
            </w:r>
          </w:p>
        </w:tc>
      </w:tr>
      <w:tr w:rsidR="00D479A3" w:rsidRPr="00646A0A" w14:paraId="7C55106B" w14:textId="77777777" w:rsidTr="00D479A3">
        <w:tc>
          <w:tcPr>
            <w:tcW w:w="1890" w:type="dxa"/>
            <w:vMerge w:val="restart"/>
          </w:tcPr>
          <w:p w14:paraId="5BA07E5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7110" w:type="dxa"/>
            <w:shd w:val="clear" w:color="auto" w:fill="FBE4D5" w:themeFill="accent2" w:themeFillTint="33"/>
          </w:tcPr>
          <w:p w14:paraId="371C0190" w14:textId="77777777" w:rsidR="00D479A3" w:rsidRPr="000049F1" w:rsidRDefault="00D479A3" w:rsidP="00373D14">
            <w:pPr>
              <w:spacing w:before="60"/>
              <w:jc w:val="both"/>
              <w:rPr>
                <w:rFonts w:cstheme="minorHAnsi"/>
                <w:color w:val="002060"/>
              </w:rPr>
            </w:pPr>
            <w:r w:rsidRPr="000049F1">
              <w:rPr>
                <w:rFonts w:cstheme="minorHAnsi"/>
                <w:color w:val="002060"/>
              </w:rPr>
              <w:t xml:space="preserve">Beneficiarii au obligația de a se asigura că componentele și </w:t>
            </w:r>
            <w:r w:rsidRPr="000049F1">
              <w:rPr>
                <w:rFonts w:cstheme="minorHAnsi"/>
                <w:b/>
                <w:bCs/>
                <w:color w:val="002060"/>
                <w:u w:val="single"/>
              </w:rPr>
              <w:t>materialele de construcție utilizate la renovarea clădirii nu conțin azbest și nici substanțe care prezintă motive de îngrijorare deosebită</w:t>
            </w:r>
            <w:r w:rsidRPr="000049F1">
              <w:rPr>
                <w:rFonts w:cstheme="minorHAnsi"/>
                <w:color w:val="002060"/>
              </w:rPr>
              <w:t>, astfel cum au fost identificate pe baza listei substanțelor supuse autorizării prevăzute în anexa XIV la Regulamentul (CE) nr. 1907/2006.</w:t>
            </w:r>
          </w:p>
        </w:tc>
        <w:tc>
          <w:tcPr>
            <w:tcW w:w="1530" w:type="dxa"/>
            <w:shd w:val="clear" w:color="auto" w:fill="FBE4D5" w:themeFill="accent2" w:themeFillTint="33"/>
          </w:tcPr>
          <w:p w14:paraId="4874B400"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402A30CD"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2D9F0948" w14:textId="77777777" w:rsidR="00D479A3" w:rsidRPr="00646A0A" w:rsidRDefault="00D479A3" w:rsidP="00373D14">
            <w:pPr>
              <w:spacing w:before="60"/>
              <w:jc w:val="both"/>
              <w:rPr>
                <w:rFonts w:cstheme="minorHAnsi"/>
                <w:color w:val="002060"/>
              </w:rPr>
            </w:pPr>
          </w:p>
          <w:p w14:paraId="4933DCB5"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65A6E584"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4EBFEA0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33819F54"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Hotărâre nr. 124 din 30 ianuarie 2003 privind prevenirea, reducerea </w:t>
            </w:r>
            <w:proofErr w:type="spellStart"/>
            <w:r w:rsidRPr="00646A0A">
              <w:rPr>
                <w:rFonts w:cstheme="minorHAnsi"/>
                <w:color w:val="002060"/>
              </w:rPr>
              <w:t>şi</w:t>
            </w:r>
            <w:proofErr w:type="spellEnd"/>
            <w:r w:rsidRPr="00646A0A">
              <w:rPr>
                <w:rFonts w:cstheme="minorHAnsi"/>
                <w:color w:val="002060"/>
              </w:rPr>
              <w:t xml:space="preserve"> controlul poluării mediului cu azbest, </w:t>
            </w:r>
          </w:p>
          <w:p w14:paraId="0ECA275F"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 xml:space="preserve">Lege nr. 360 din 2 septembrie 2003 privind regimul substanțelor </w:t>
            </w:r>
            <w:proofErr w:type="spellStart"/>
            <w:r w:rsidRPr="00646A0A">
              <w:rPr>
                <w:rFonts w:cstheme="minorHAnsi"/>
                <w:color w:val="002060"/>
              </w:rPr>
              <w:t>şi</w:t>
            </w:r>
            <w:proofErr w:type="spellEnd"/>
            <w:r w:rsidRPr="00646A0A">
              <w:rPr>
                <w:rFonts w:cstheme="minorHAnsi"/>
                <w:color w:val="002060"/>
              </w:rPr>
              <w:t xml:space="preserve"> preparatelor chimice periculoase</w:t>
            </w:r>
          </w:p>
        </w:tc>
      </w:tr>
      <w:tr w:rsidR="00D659E9" w:rsidRPr="00646A0A" w14:paraId="3251C81A" w14:textId="77777777" w:rsidTr="00D479A3">
        <w:tc>
          <w:tcPr>
            <w:tcW w:w="1890" w:type="dxa"/>
            <w:vMerge/>
          </w:tcPr>
          <w:p w14:paraId="6663DFD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08E3403" w14:textId="77777777" w:rsidR="00D659E9" w:rsidRPr="008E2A4B" w:rsidRDefault="00D659E9" w:rsidP="00D659E9">
            <w:pPr>
              <w:spacing w:before="60"/>
              <w:jc w:val="both"/>
              <w:rPr>
                <w:rFonts w:cstheme="minorHAnsi"/>
                <w:color w:val="002060"/>
                <w:highlight w:val="yellow"/>
              </w:rPr>
            </w:pPr>
            <w:r w:rsidRPr="000049F1">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FBE4D5" w:themeFill="accent2" w:themeFillTint="33"/>
          </w:tcPr>
          <w:p w14:paraId="0A6E1DD3"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D7AED1D"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2FE733A0" w14:textId="77777777" w:rsidR="00D659E9" w:rsidRPr="00646A0A" w:rsidRDefault="00D659E9" w:rsidP="00D659E9">
            <w:pPr>
              <w:spacing w:before="60"/>
              <w:jc w:val="both"/>
              <w:rPr>
                <w:rFonts w:cstheme="minorHAnsi"/>
                <w:color w:val="002060"/>
              </w:rPr>
            </w:pPr>
          </w:p>
          <w:p w14:paraId="53B43C8B" w14:textId="77777777" w:rsidR="00D659E9" w:rsidRPr="00646A0A" w:rsidRDefault="00D659E9" w:rsidP="00D659E9">
            <w:pPr>
              <w:spacing w:before="60"/>
              <w:jc w:val="both"/>
              <w:rPr>
                <w:rFonts w:cstheme="minorHAnsi"/>
                <w:color w:val="002060"/>
              </w:rPr>
            </w:pPr>
          </w:p>
        </w:tc>
        <w:tc>
          <w:tcPr>
            <w:tcW w:w="2430" w:type="dxa"/>
            <w:shd w:val="clear" w:color="auto" w:fill="FBE4D5" w:themeFill="accent2" w:themeFillTint="33"/>
          </w:tcPr>
          <w:p w14:paraId="44837BE9" w14:textId="77777777" w:rsidR="00D659E9" w:rsidRPr="00646A0A" w:rsidRDefault="00D659E9" w:rsidP="00D659E9">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03356434" w14:textId="4C3BC1C9" w:rsidR="00D659E9" w:rsidRPr="00646A0A" w:rsidRDefault="00D659E9" w:rsidP="00D659E9">
            <w:pPr>
              <w:pStyle w:val="ListParagraph"/>
              <w:numPr>
                <w:ilvl w:val="0"/>
                <w:numId w:val="2"/>
              </w:numPr>
              <w:spacing w:before="60"/>
              <w:contextualSpacing w:val="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r>
              <w:rPr>
                <w:rFonts w:cstheme="minorHAnsi"/>
                <w:color w:val="002060"/>
              </w:rPr>
              <w:t xml:space="preserve"> </w:t>
            </w:r>
            <w:r w:rsidRPr="00990945">
              <w:rPr>
                <w:rFonts w:cstheme="minorHAnsi"/>
                <w:color w:val="002060"/>
              </w:rPr>
              <w:t>privind emisiile industriale</w:t>
            </w:r>
          </w:p>
        </w:tc>
      </w:tr>
      <w:tr w:rsidR="00D479A3" w:rsidRPr="00646A0A" w14:paraId="225CEA7F" w14:textId="77777777" w:rsidTr="00D479A3">
        <w:tc>
          <w:tcPr>
            <w:tcW w:w="1890" w:type="dxa"/>
            <w:vMerge/>
          </w:tcPr>
          <w:p w14:paraId="0676638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06D58AAA" w14:textId="77777777" w:rsidR="00D479A3" w:rsidRPr="00646A0A" w:rsidRDefault="00D479A3" w:rsidP="00373D14">
            <w:pPr>
              <w:spacing w:before="60"/>
              <w:jc w:val="both"/>
              <w:rPr>
                <w:rFonts w:cstheme="minorHAnsi"/>
                <w:color w:val="002060"/>
              </w:rPr>
            </w:pPr>
            <w:r w:rsidRPr="00646A0A">
              <w:rPr>
                <w:rFonts w:cstheme="minorHAnsi"/>
                <w:color w:val="002060"/>
              </w:rPr>
              <w:t>Activitatea nu conduce la fabricarea, introducerea pe piață sau utilizarea:</w:t>
            </w:r>
          </w:p>
          <w:p w14:paraId="493553F4" w14:textId="77777777" w:rsidR="00D479A3" w:rsidRPr="00646A0A" w:rsidRDefault="00D479A3" w:rsidP="00373D14">
            <w:pPr>
              <w:spacing w:before="60"/>
              <w:jc w:val="both"/>
              <w:rPr>
                <w:rFonts w:cstheme="minorHAnsi"/>
                <w:color w:val="002060"/>
              </w:rPr>
            </w:pPr>
            <w:r w:rsidRPr="00646A0A">
              <w:rPr>
                <w:rFonts w:cstheme="minorHAnsi"/>
                <w:color w:val="002060"/>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1DE29A53"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585A648C"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FBE4D5" w:themeFill="accent2" w:themeFillTint="33"/>
          </w:tcPr>
          <w:p w14:paraId="019EBF7D"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224C66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17DCF6ED"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12F9B14D"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4320" w:type="dxa"/>
            <w:shd w:val="clear" w:color="auto" w:fill="FBE4D5" w:themeFill="accent2" w:themeFillTint="33"/>
          </w:tcPr>
          <w:p w14:paraId="10138A3A" w14:textId="77777777" w:rsidR="00D479A3" w:rsidRPr="00646A0A" w:rsidRDefault="00D479A3" w:rsidP="00373D14">
            <w:pPr>
              <w:pStyle w:val="ListParagraph"/>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8AA8FD6" w14:textId="77777777" w:rsidR="00D479A3" w:rsidRPr="00646A0A" w:rsidRDefault="00D479A3" w:rsidP="00373D14">
            <w:pPr>
              <w:spacing w:before="60"/>
              <w:jc w:val="both"/>
              <w:rPr>
                <w:rFonts w:cstheme="minorHAnsi"/>
                <w:color w:val="002060"/>
              </w:rPr>
            </w:pPr>
          </w:p>
        </w:tc>
      </w:tr>
      <w:tr w:rsidR="00D479A3" w:rsidRPr="00646A0A" w14:paraId="1A7AD168" w14:textId="77777777" w:rsidTr="00D479A3">
        <w:tc>
          <w:tcPr>
            <w:tcW w:w="1890" w:type="dxa"/>
            <w:vMerge/>
          </w:tcPr>
          <w:p w14:paraId="619CD73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8FA157A"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FBE4D5" w:themeFill="accent2" w:themeFillTint="33"/>
          </w:tcPr>
          <w:p w14:paraId="0D16CCC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EB9BD03" w14:textId="77777777" w:rsidR="00D479A3" w:rsidRPr="00646A0A" w:rsidRDefault="00D479A3"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shd w:val="clear" w:color="auto" w:fill="FBE4D5" w:themeFill="accent2" w:themeFillTint="33"/>
          </w:tcPr>
          <w:p w14:paraId="7694FF11" w14:textId="421E94EF" w:rsidR="00D479A3" w:rsidRPr="00646A0A" w:rsidRDefault="00D479A3" w:rsidP="00373D14">
            <w:pPr>
              <w:spacing w:before="60"/>
              <w:jc w:val="both"/>
              <w:rPr>
                <w:rFonts w:cstheme="minorHAnsi"/>
                <w:color w:val="002060"/>
              </w:rPr>
            </w:pPr>
            <w:r w:rsidRPr="00646A0A">
              <w:rPr>
                <w:rFonts w:cstheme="minorHAnsi"/>
                <w:color w:val="002060"/>
              </w:rPr>
              <w:t xml:space="preserve">Introducerea </w:t>
            </w:r>
            <w:r w:rsidR="009145F4" w:rsidRPr="00646A0A">
              <w:rPr>
                <w:rFonts w:cstheme="minorHAnsi"/>
                <w:color w:val="002060"/>
              </w:rPr>
              <w:t>î</w:t>
            </w:r>
            <w:r w:rsidRPr="00646A0A">
              <w:rPr>
                <w:rFonts w:cstheme="minorHAnsi"/>
                <w:color w:val="002060"/>
              </w:rPr>
              <w:t>n SF/DALI/PT a unor cerințe privind calitatea materialelor care asigură îndeplinirea cerinței</w:t>
            </w:r>
          </w:p>
        </w:tc>
        <w:tc>
          <w:tcPr>
            <w:tcW w:w="4320" w:type="dxa"/>
            <w:shd w:val="clear" w:color="auto" w:fill="FBE4D5" w:themeFill="accent2" w:themeFillTint="33"/>
          </w:tcPr>
          <w:p w14:paraId="4D0A2D5B" w14:textId="77777777" w:rsidR="00D479A3" w:rsidRPr="00646A0A" w:rsidRDefault="00D479A3" w:rsidP="00373D14">
            <w:pPr>
              <w:spacing w:before="6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720C299C" w14:textId="77777777" w:rsidTr="00D479A3">
        <w:tc>
          <w:tcPr>
            <w:tcW w:w="1890" w:type="dxa"/>
            <w:vMerge/>
          </w:tcPr>
          <w:p w14:paraId="74C031FC" w14:textId="77777777" w:rsidR="00D479A3" w:rsidRPr="00646A0A" w:rsidRDefault="00D479A3" w:rsidP="00373D1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C4A7B06" w14:textId="77777777" w:rsidR="00D479A3" w:rsidRPr="000049F1" w:rsidRDefault="00D479A3" w:rsidP="00373D14">
            <w:pPr>
              <w:spacing w:before="60"/>
              <w:jc w:val="both"/>
              <w:rPr>
                <w:rFonts w:cstheme="minorHAnsi"/>
                <w:color w:val="002060"/>
              </w:rPr>
            </w:pPr>
            <w:r w:rsidRPr="000049F1">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1530" w:type="dxa"/>
            <w:tcBorders>
              <w:bottom w:val="single" w:sz="4" w:space="0" w:color="auto"/>
            </w:tcBorders>
            <w:shd w:val="clear" w:color="auto" w:fill="FBE4D5" w:themeFill="accent2" w:themeFillTint="33"/>
          </w:tcPr>
          <w:p w14:paraId="205E4D0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CBCDF3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4CB9E70" w14:textId="77777777" w:rsidR="00D479A3" w:rsidRPr="00646A0A" w:rsidRDefault="00D479A3" w:rsidP="00373D14">
            <w:pPr>
              <w:spacing w:before="60"/>
              <w:jc w:val="both"/>
              <w:rPr>
                <w:rFonts w:cstheme="minorHAnsi"/>
                <w:color w:val="002060"/>
              </w:rPr>
            </w:pPr>
          </w:p>
          <w:p w14:paraId="228A12A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Solicitantul </w:t>
            </w:r>
            <w:proofErr w:type="spellStart"/>
            <w:r w:rsidRPr="00646A0A">
              <w:rPr>
                <w:rFonts w:cstheme="minorHAnsi"/>
                <w:color w:val="002060"/>
              </w:rPr>
              <w:t>îşi</w:t>
            </w:r>
            <w:proofErr w:type="spellEnd"/>
            <w:r w:rsidRPr="00646A0A">
              <w:rPr>
                <w:rFonts w:cstheme="minorHAnsi"/>
                <w:color w:val="002060"/>
              </w:rPr>
              <w:t xml:space="preserve">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w:t>
            </w:r>
            <w:r w:rsidRPr="00646A0A">
              <w:rPr>
                <w:rFonts w:cstheme="minorHAnsi"/>
                <w:color w:val="002060"/>
              </w:rPr>
              <w:lastRenderedPageBreak/>
              <w:t>produse pentru etichetarea energetică (EPREL).</w:t>
            </w:r>
          </w:p>
        </w:tc>
        <w:tc>
          <w:tcPr>
            <w:tcW w:w="2430" w:type="dxa"/>
            <w:tcBorders>
              <w:bottom w:val="single" w:sz="4" w:space="0" w:color="auto"/>
            </w:tcBorders>
            <w:shd w:val="clear" w:color="auto" w:fill="FBE4D5" w:themeFill="accent2" w:themeFillTint="33"/>
          </w:tcPr>
          <w:p w14:paraId="25FA0342" w14:textId="5C22AECD" w:rsidR="00D479A3" w:rsidRPr="00646A0A" w:rsidRDefault="00736A34" w:rsidP="00373D14">
            <w:pPr>
              <w:spacing w:before="60"/>
              <w:jc w:val="both"/>
              <w:rPr>
                <w:rFonts w:cstheme="minorHAnsi"/>
                <w:color w:val="002060"/>
              </w:rPr>
            </w:pPr>
            <w:r w:rsidRPr="00646A0A">
              <w:rPr>
                <w:rFonts w:cstheme="minorHAnsi"/>
                <w:color w:val="002060"/>
              </w:rPr>
              <w:lastRenderedPageBreak/>
              <w:t>SF/DALI/</w:t>
            </w:r>
            <w:r w:rsidR="00D479A3" w:rsidRPr="00646A0A">
              <w:rPr>
                <w:rFonts w:cstheme="minorHAnsi"/>
                <w:color w:val="002060"/>
              </w:rPr>
              <w:t>PT</w:t>
            </w:r>
          </w:p>
        </w:tc>
        <w:tc>
          <w:tcPr>
            <w:tcW w:w="4320" w:type="dxa"/>
            <w:tcBorders>
              <w:bottom w:val="single" w:sz="4" w:space="0" w:color="auto"/>
            </w:tcBorders>
            <w:shd w:val="clear" w:color="auto" w:fill="FBE4D5" w:themeFill="accent2" w:themeFillTint="33"/>
          </w:tcPr>
          <w:p w14:paraId="035BC11D" w14:textId="2B8523A6" w:rsidR="00D479A3" w:rsidRPr="00646A0A" w:rsidRDefault="00D479A3" w:rsidP="00373D14">
            <w:pPr>
              <w:spacing w:before="60"/>
              <w:jc w:val="both"/>
              <w:rPr>
                <w:rFonts w:cstheme="minorHAnsi"/>
                <w:color w:val="002060"/>
              </w:rPr>
            </w:pPr>
          </w:p>
        </w:tc>
      </w:tr>
      <w:tr w:rsidR="006C65D6" w:rsidRPr="00646A0A" w14:paraId="4FA874BD" w14:textId="77777777" w:rsidTr="00D479A3">
        <w:tc>
          <w:tcPr>
            <w:tcW w:w="1890" w:type="dxa"/>
            <w:vMerge/>
          </w:tcPr>
          <w:p w14:paraId="57A528BA" w14:textId="77777777" w:rsidR="006C65D6" w:rsidRPr="00646A0A" w:rsidRDefault="006C65D6" w:rsidP="006C65D6">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6184680" w14:textId="77777777" w:rsidR="006C65D6" w:rsidRPr="000049F1" w:rsidRDefault="006C65D6" w:rsidP="006C65D6">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1530" w:type="dxa"/>
            <w:tcBorders>
              <w:bottom w:val="single" w:sz="4" w:space="0" w:color="auto"/>
            </w:tcBorders>
            <w:shd w:val="clear" w:color="auto" w:fill="FBE4D5" w:themeFill="accent2" w:themeFillTint="33"/>
          </w:tcPr>
          <w:p w14:paraId="1C55A206" w14:textId="77777777" w:rsidR="006C65D6" w:rsidRPr="00646A0A" w:rsidRDefault="006C65D6" w:rsidP="006C65D6">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1C358E08" w14:textId="77777777" w:rsidR="006C65D6" w:rsidRPr="00646A0A" w:rsidRDefault="006C65D6" w:rsidP="006C65D6">
            <w:pPr>
              <w:spacing w:before="60"/>
              <w:jc w:val="both"/>
              <w:rPr>
                <w:rFonts w:cstheme="minorHAnsi"/>
                <w:b/>
                <w:bCs/>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4D96982E" w14:textId="52FA74D0" w:rsidR="006C65D6" w:rsidRPr="00646A0A" w:rsidRDefault="006C65D6" w:rsidP="006C65D6">
            <w:pPr>
              <w:spacing w:before="60"/>
              <w:jc w:val="both"/>
              <w:rPr>
                <w:rFonts w:cstheme="minorHAnsi"/>
                <w:color w:val="002060"/>
              </w:rPr>
            </w:pPr>
            <w:r w:rsidRPr="00646A0A">
              <w:rPr>
                <w:rFonts w:cstheme="minorHAnsi"/>
                <w:color w:val="002060"/>
              </w:rPr>
              <w:t>Includerea cerinței în SF/DALI/PT</w:t>
            </w:r>
          </w:p>
        </w:tc>
        <w:tc>
          <w:tcPr>
            <w:tcW w:w="4320" w:type="dxa"/>
            <w:tcBorders>
              <w:bottom w:val="single" w:sz="4" w:space="0" w:color="auto"/>
            </w:tcBorders>
            <w:shd w:val="clear" w:color="auto" w:fill="FBE4D5" w:themeFill="accent2" w:themeFillTint="33"/>
          </w:tcPr>
          <w:p w14:paraId="21E6CB9C" w14:textId="77777777" w:rsidR="006C65D6" w:rsidRPr="00646A0A" w:rsidRDefault="006C65D6" w:rsidP="006C65D6">
            <w:pPr>
              <w:pStyle w:val="ListParagraph"/>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61FA0541" w14:textId="2E1DD5D9" w:rsidR="006C65D6" w:rsidRPr="00646A0A" w:rsidRDefault="006C65D6" w:rsidP="006C65D6">
            <w:pPr>
              <w:pStyle w:val="ListParagraph"/>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w:t>
            </w:r>
            <w:proofErr w:type="spellStart"/>
            <w:r w:rsidRPr="000C5D04">
              <w:rPr>
                <w:rFonts w:cstheme="minorHAnsi"/>
                <w:color w:val="002060"/>
              </w:rPr>
              <w:t>şi</w:t>
            </w:r>
            <w:proofErr w:type="spellEnd"/>
            <w:r w:rsidRPr="000C5D04">
              <w:rPr>
                <w:rFonts w:cstheme="minorHAnsi"/>
                <w:color w:val="002060"/>
              </w:rPr>
              <w:t xml:space="preserve"> turismului  nr. 2.132 din 8 decembrie 2005</w:t>
            </w:r>
            <w:r>
              <w:rPr>
                <w:rFonts w:cstheme="minorHAnsi"/>
                <w:color w:val="002060"/>
              </w:rPr>
              <w:t xml:space="preserve"> </w:t>
            </w:r>
            <w:r w:rsidRPr="000C5D04">
              <w:rPr>
                <w:rFonts w:cstheme="minorHAnsi"/>
                <w:color w:val="002060"/>
              </w:rPr>
              <w:t xml:space="preserve">pentru aprobarea Reglementărilor privind omologarea individuală, eliberarea cărții de identitate </w:t>
            </w:r>
            <w:proofErr w:type="spellStart"/>
            <w:r w:rsidRPr="000C5D04">
              <w:rPr>
                <w:rFonts w:cstheme="minorHAnsi"/>
                <w:color w:val="002060"/>
              </w:rPr>
              <w:t>şi</w:t>
            </w:r>
            <w:proofErr w:type="spellEnd"/>
            <w:r w:rsidRPr="000C5D04">
              <w:rPr>
                <w:rFonts w:cstheme="minorHAnsi"/>
                <w:color w:val="002060"/>
              </w:rPr>
              <w:t xml:space="preserve"> certificarea autenticității vehiculelor rutiere - RNTR 7</w:t>
            </w:r>
          </w:p>
        </w:tc>
      </w:tr>
      <w:tr w:rsidR="00927BCC" w:rsidRPr="00646A0A" w14:paraId="3F075250" w14:textId="77777777" w:rsidTr="00D479A3">
        <w:tc>
          <w:tcPr>
            <w:tcW w:w="1890" w:type="dxa"/>
            <w:vMerge/>
          </w:tcPr>
          <w:p w14:paraId="0C93669B" w14:textId="77777777" w:rsidR="00927BCC" w:rsidRPr="00646A0A" w:rsidRDefault="00927BCC" w:rsidP="00927BCC">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DD40A06" w14:textId="77777777" w:rsidR="00927BCC" w:rsidRPr="000049F1" w:rsidRDefault="00927BCC" w:rsidP="00927BCC">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1530" w:type="dxa"/>
            <w:tcBorders>
              <w:bottom w:val="single" w:sz="4" w:space="0" w:color="auto"/>
            </w:tcBorders>
            <w:shd w:val="clear" w:color="auto" w:fill="FBE4D5" w:themeFill="accent2" w:themeFillTint="33"/>
          </w:tcPr>
          <w:p w14:paraId="1A91471F"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26239EA" w14:textId="77777777" w:rsidR="00927BCC" w:rsidRPr="00646A0A" w:rsidRDefault="00927BCC" w:rsidP="00927BCC">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1D54B50E" w14:textId="45EAFBF1" w:rsidR="000A679A" w:rsidRPr="00646A0A" w:rsidRDefault="000A679A" w:rsidP="00927BCC">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4320" w:type="dxa"/>
            <w:tcBorders>
              <w:bottom w:val="single" w:sz="4" w:space="0" w:color="auto"/>
            </w:tcBorders>
            <w:shd w:val="clear" w:color="auto" w:fill="FBE4D5" w:themeFill="accent2" w:themeFillTint="33"/>
          </w:tcPr>
          <w:p w14:paraId="55B294E7" w14:textId="0FE8AF96" w:rsidR="00927BCC" w:rsidRPr="00646A0A" w:rsidRDefault="00927BCC" w:rsidP="00927BCC">
            <w:pPr>
              <w:pStyle w:val="ListParagraph"/>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sidR="006C65D6">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E651B4" w:rsidRPr="00646A0A" w14:paraId="4D57C000" w14:textId="77777777" w:rsidTr="00D479A3">
        <w:trPr>
          <w:trHeight w:val="1647"/>
        </w:trPr>
        <w:tc>
          <w:tcPr>
            <w:tcW w:w="1890" w:type="dxa"/>
            <w:vMerge/>
            <w:tcBorders>
              <w:bottom w:val="single" w:sz="4" w:space="0" w:color="auto"/>
            </w:tcBorders>
          </w:tcPr>
          <w:p w14:paraId="16ED8C39" w14:textId="77777777" w:rsidR="00E651B4" w:rsidRPr="00646A0A" w:rsidRDefault="00E651B4" w:rsidP="00E651B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1A1436B" w14:textId="6BCCD755" w:rsidR="00E651B4" w:rsidRPr="000049F1" w:rsidRDefault="00E651B4" w:rsidP="00E651B4">
            <w:pPr>
              <w:spacing w:before="60"/>
              <w:jc w:val="both"/>
              <w:rPr>
                <w:rFonts w:cstheme="minorHAnsi"/>
                <w:color w:val="002060"/>
              </w:rPr>
            </w:pPr>
            <w:r w:rsidRPr="000049F1">
              <w:rPr>
                <w:rFonts w:cstheme="minorHAnsi"/>
                <w:color w:val="002060"/>
              </w:rPr>
              <w:t xml:space="preserve">Finanțarea proiectelor de reabilitare va fi condiționată de existența/propunerea unui sistem conform de colectare, epurare </w:t>
            </w:r>
            <w:proofErr w:type="spellStart"/>
            <w:r w:rsidRPr="000049F1">
              <w:rPr>
                <w:rFonts w:cstheme="minorHAnsi"/>
                <w:color w:val="002060"/>
              </w:rPr>
              <w:t>şi</w:t>
            </w:r>
            <w:proofErr w:type="spellEnd"/>
            <w:r w:rsidRPr="000049F1">
              <w:rPr>
                <w:rFonts w:cstheme="minorHAnsi"/>
                <w:color w:val="002060"/>
              </w:rPr>
              <w:t xml:space="preserve"> evacuare a tuturor apelor uzate conform cerințelor legale în vigoare sau de includere a acestei componente în proiectul de reabilitare.</w:t>
            </w:r>
          </w:p>
        </w:tc>
        <w:tc>
          <w:tcPr>
            <w:tcW w:w="1530" w:type="dxa"/>
            <w:tcBorders>
              <w:bottom w:val="single" w:sz="4" w:space="0" w:color="auto"/>
            </w:tcBorders>
            <w:shd w:val="clear" w:color="auto" w:fill="FBE4D5" w:themeFill="accent2" w:themeFillTint="33"/>
          </w:tcPr>
          <w:p w14:paraId="52A46026" w14:textId="78DC3F19" w:rsidR="00E651B4" w:rsidRPr="00646A0A" w:rsidRDefault="00E651B4" w:rsidP="00E651B4">
            <w:pPr>
              <w:spacing w:before="60"/>
              <w:jc w:val="both"/>
              <w:rPr>
                <w:rFonts w:cstheme="minorHAnsi"/>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6B9EABC8" w14:textId="77777777" w:rsidR="00E651B4" w:rsidRPr="00646A0A" w:rsidRDefault="00E651B4" w:rsidP="00E651B4">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13C640BD" w14:textId="77777777" w:rsidR="00E651B4" w:rsidRPr="00646A0A" w:rsidRDefault="00E651B4" w:rsidP="00E651B4">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37AE46F6" w14:textId="77777777" w:rsidR="00E651B4" w:rsidRPr="00646A0A" w:rsidRDefault="00E651B4" w:rsidP="00E651B4">
            <w:pPr>
              <w:spacing w:before="60"/>
              <w:jc w:val="both"/>
              <w:rPr>
                <w:rFonts w:cstheme="minorHAnsi"/>
                <w:color w:val="002060"/>
              </w:rPr>
            </w:pPr>
            <w:r w:rsidRPr="00646A0A">
              <w:rPr>
                <w:rFonts w:cstheme="minorHAnsi"/>
                <w:color w:val="002060"/>
              </w:rPr>
              <w:t>sau</w:t>
            </w:r>
          </w:p>
          <w:p w14:paraId="33E51CF7"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77950226"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7E671D7F" w14:textId="2A806484" w:rsidR="00E651B4" w:rsidRPr="00646A0A" w:rsidRDefault="00E651B4" w:rsidP="00E651B4">
            <w:pPr>
              <w:spacing w:before="60"/>
              <w:jc w:val="both"/>
              <w:rPr>
                <w:rFonts w:cstheme="minorHAnsi"/>
                <w:color w:val="002060"/>
              </w:rPr>
            </w:pPr>
            <w:r w:rsidRPr="00646A0A">
              <w:rPr>
                <w:rFonts w:cstheme="minorHAnsi"/>
                <w:color w:val="002060"/>
              </w:rPr>
              <w:t>Avizul de branșare definitiv</w:t>
            </w:r>
          </w:p>
        </w:tc>
        <w:tc>
          <w:tcPr>
            <w:tcW w:w="2430" w:type="dxa"/>
            <w:tcBorders>
              <w:bottom w:val="single" w:sz="4" w:space="0" w:color="auto"/>
            </w:tcBorders>
            <w:shd w:val="clear" w:color="auto" w:fill="FBE4D5" w:themeFill="accent2" w:themeFillTint="33"/>
          </w:tcPr>
          <w:p w14:paraId="10665740"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412DFD41" w14:textId="77777777" w:rsidR="00E651B4" w:rsidRPr="00646A0A" w:rsidRDefault="00E651B4" w:rsidP="00E651B4">
            <w:pPr>
              <w:spacing w:before="60"/>
              <w:jc w:val="both"/>
              <w:rPr>
                <w:rFonts w:cstheme="minorHAnsi"/>
                <w:b/>
                <w:bCs/>
                <w:color w:val="002060"/>
              </w:rPr>
            </w:pPr>
          </w:p>
          <w:p w14:paraId="1C5979A3" w14:textId="77777777" w:rsidR="00E651B4" w:rsidRPr="00646A0A" w:rsidRDefault="00E651B4" w:rsidP="00E651B4">
            <w:pPr>
              <w:spacing w:before="60"/>
              <w:jc w:val="both"/>
              <w:rPr>
                <w:rFonts w:cstheme="minorHAnsi"/>
                <w:b/>
                <w:bCs/>
                <w:color w:val="002060"/>
              </w:rPr>
            </w:pPr>
            <w:r w:rsidRPr="00646A0A">
              <w:rPr>
                <w:rFonts w:cstheme="minorHAnsi"/>
                <w:b/>
                <w:bCs/>
                <w:color w:val="002060"/>
              </w:rPr>
              <w:t>Sau</w:t>
            </w:r>
          </w:p>
          <w:p w14:paraId="2F9C1F95" w14:textId="77777777" w:rsidR="00E651B4" w:rsidRPr="00646A0A" w:rsidRDefault="00E651B4" w:rsidP="00E651B4">
            <w:pPr>
              <w:spacing w:before="60"/>
              <w:jc w:val="both"/>
              <w:rPr>
                <w:rFonts w:cstheme="minorHAnsi"/>
                <w:color w:val="002060"/>
              </w:rPr>
            </w:pPr>
          </w:p>
          <w:p w14:paraId="1754B50B" w14:textId="137467E8" w:rsidR="00E651B4" w:rsidRPr="00646A0A" w:rsidRDefault="00E651B4" w:rsidP="00E651B4">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4320" w:type="dxa"/>
            <w:tcBorders>
              <w:bottom w:val="single" w:sz="4" w:space="0" w:color="auto"/>
            </w:tcBorders>
            <w:shd w:val="clear" w:color="auto" w:fill="FBE4D5" w:themeFill="accent2" w:themeFillTint="33"/>
          </w:tcPr>
          <w:p w14:paraId="32A02FC1" w14:textId="77777777" w:rsidR="00E651B4" w:rsidRPr="00646A0A" w:rsidRDefault="00E651B4" w:rsidP="00E651B4">
            <w:pPr>
              <w:pStyle w:val="ListParagraph"/>
              <w:numPr>
                <w:ilvl w:val="0"/>
                <w:numId w:val="9"/>
              </w:numPr>
              <w:spacing w:before="60"/>
              <w:contextualSpacing w:val="0"/>
              <w:jc w:val="both"/>
              <w:rPr>
                <w:rFonts w:cstheme="minorHAnsi"/>
                <w:color w:val="002060"/>
              </w:rPr>
            </w:pPr>
            <w:r w:rsidRPr="00646A0A">
              <w:rPr>
                <w:rFonts w:cstheme="minorHAnsi"/>
                <w:color w:val="002060"/>
              </w:rPr>
              <w:t>Hotărârea</w:t>
            </w:r>
            <w:r>
              <w:rPr>
                <w:rFonts w:cstheme="minorHAnsi"/>
                <w:color w:val="002060"/>
              </w:rPr>
              <w:t xml:space="preserve"> Guvernului</w:t>
            </w:r>
            <w:r w:rsidRPr="00646A0A">
              <w:rPr>
                <w:rFonts w:cstheme="minorHAnsi"/>
                <w:color w:val="002060"/>
              </w:rPr>
              <w:t xml:space="preserve"> nr. 188 din 28 februarie 2002 pentru aprobarea unor norme privind condițiile de descărcare în mediul acvatic a apelor uzate</w:t>
            </w:r>
          </w:p>
          <w:p w14:paraId="4654E0AB" w14:textId="77777777" w:rsidR="00E651B4" w:rsidRPr="00530ACB" w:rsidRDefault="00E651B4" w:rsidP="00E651B4">
            <w:pPr>
              <w:pStyle w:val="ListParagraph"/>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 xml:space="preserve">serviciului de alimentare cu apă </w:t>
            </w:r>
            <w:proofErr w:type="spellStart"/>
            <w:r w:rsidRPr="00530ACB">
              <w:rPr>
                <w:rFonts w:cstheme="minorHAnsi"/>
                <w:color w:val="002060"/>
              </w:rPr>
              <w:t>şi</w:t>
            </w:r>
            <w:proofErr w:type="spellEnd"/>
            <w:r w:rsidRPr="00530ACB">
              <w:rPr>
                <w:rFonts w:cstheme="minorHAnsi"/>
                <w:color w:val="002060"/>
              </w:rPr>
              <w:t xml:space="preserve"> de canalizare</w:t>
            </w:r>
          </w:p>
          <w:p w14:paraId="7F67D4B2" w14:textId="4091C0DA" w:rsidR="00E651B4" w:rsidRPr="00646A0A" w:rsidRDefault="00E651B4" w:rsidP="00E651B4">
            <w:pPr>
              <w:pStyle w:val="ListParagraph"/>
              <w:numPr>
                <w:ilvl w:val="0"/>
                <w:numId w:val="9"/>
              </w:numPr>
              <w:spacing w:before="60"/>
              <w:contextualSpacing w:val="0"/>
              <w:jc w:val="both"/>
              <w:rPr>
                <w:rFonts w:cstheme="minorHAnsi"/>
                <w:color w:val="002060"/>
              </w:rPr>
            </w:pPr>
          </w:p>
        </w:tc>
      </w:tr>
      <w:tr w:rsidR="00927BCC" w:rsidRPr="00646A0A" w14:paraId="271C555C" w14:textId="77777777" w:rsidTr="00D479A3">
        <w:tc>
          <w:tcPr>
            <w:tcW w:w="1890" w:type="dxa"/>
            <w:vMerge w:val="restart"/>
          </w:tcPr>
          <w:p w14:paraId="3A6DAC46" w14:textId="77777777" w:rsidR="00927BCC" w:rsidRPr="00646A0A" w:rsidRDefault="00927BCC" w:rsidP="00927BCC">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7110" w:type="dxa"/>
            <w:tcBorders>
              <w:bottom w:val="single" w:sz="4" w:space="0" w:color="auto"/>
            </w:tcBorders>
            <w:shd w:val="clear" w:color="auto" w:fill="FBE4D5" w:themeFill="accent2" w:themeFillTint="33"/>
          </w:tcPr>
          <w:p w14:paraId="1C76BEF7"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288D2CA" w14:textId="77777777" w:rsidR="00927BCC" w:rsidRPr="000049F1" w:rsidRDefault="00927BCC" w:rsidP="00927BCC">
            <w:pPr>
              <w:spacing w:before="60"/>
              <w:jc w:val="both"/>
              <w:rPr>
                <w:rFonts w:cstheme="minorHAnsi"/>
                <w:color w:val="002060"/>
              </w:rPr>
            </w:pPr>
            <w:r w:rsidRPr="000049F1">
              <w:rPr>
                <w:rFonts w:cstheme="minorHAnsi"/>
                <w:color w:val="002060"/>
              </w:rPr>
              <w:t xml:space="preserve">Anterior demarării lucrărilor de renovare la exterior a clădirilor, a se va realiza o identificare a eventualei </w:t>
            </w:r>
            <w:proofErr w:type="spellStart"/>
            <w:r w:rsidRPr="000049F1">
              <w:rPr>
                <w:rFonts w:cstheme="minorHAnsi"/>
                <w:color w:val="002060"/>
              </w:rPr>
              <w:t>prezenţe</w:t>
            </w:r>
            <w:proofErr w:type="spellEnd"/>
            <w:r w:rsidRPr="000049F1">
              <w:rPr>
                <w:rFonts w:cstheme="minorHAnsi"/>
                <w:color w:val="002060"/>
              </w:rPr>
              <w:t xml:space="preserve"> a indivizilor de lilieci </w:t>
            </w:r>
            <w:proofErr w:type="spellStart"/>
            <w:r w:rsidRPr="000049F1">
              <w:rPr>
                <w:rFonts w:cstheme="minorHAnsi"/>
                <w:color w:val="002060"/>
              </w:rPr>
              <w:t>şi</w:t>
            </w:r>
            <w:proofErr w:type="spellEnd"/>
            <w:r w:rsidRPr="000049F1">
              <w:rPr>
                <w:rFonts w:cstheme="minorHAnsi"/>
                <w:color w:val="002060"/>
              </w:rPr>
              <w:t xml:space="preserve"> păsări precum </w:t>
            </w:r>
            <w:proofErr w:type="spellStart"/>
            <w:r w:rsidRPr="000049F1">
              <w:rPr>
                <w:rFonts w:cstheme="minorHAnsi"/>
                <w:color w:val="002060"/>
              </w:rPr>
              <w:t>şi</w:t>
            </w:r>
            <w:proofErr w:type="spellEnd"/>
            <w:r w:rsidRPr="000049F1">
              <w:rPr>
                <w:rFonts w:cstheme="minorHAnsi"/>
                <w:color w:val="002060"/>
              </w:rPr>
              <w:t xml:space="preserve"> a </w:t>
            </w:r>
            <w:proofErr w:type="spellStart"/>
            <w:r w:rsidRPr="000049F1">
              <w:rPr>
                <w:rFonts w:cstheme="minorHAnsi"/>
                <w:color w:val="002060"/>
              </w:rPr>
              <w:t>prezenţei</w:t>
            </w:r>
            <w:proofErr w:type="spellEnd"/>
            <w:r w:rsidRPr="000049F1">
              <w:rPr>
                <w:rFonts w:cstheme="minorHAnsi"/>
                <w:color w:val="002060"/>
              </w:rPr>
              <w:t xml:space="preserve"> de adăposturi </w:t>
            </w:r>
            <w:proofErr w:type="spellStart"/>
            <w:r w:rsidRPr="000049F1">
              <w:rPr>
                <w:rFonts w:cstheme="minorHAnsi"/>
                <w:color w:val="002060"/>
              </w:rPr>
              <w:t>şi</w:t>
            </w:r>
            <w:proofErr w:type="spellEnd"/>
            <w:r w:rsidRPr="000049F1">
              <w:rPr>
                <w:rFonts w:cstheme="minorHAnsi"/>
                <w:color w:val="002060"/>
              </w:rPr>
              <w:t xml:space="preserve"> cuiburi ale acestora. </w:t>
            </w:r>
            <w:proofErr w:type="spellStart"/>
            <w:r w:rsidRPr="000049F1">
              <w:rPr>
                <w:rFonts w:cstheme="minorHAnsi"/>
                <w:color w:val="002060"/>
              </w:rPr>
              <w:t>Activităţile</w:t>
            </w:r>
            <w:proofErr w:type="spellEnd"/>
            <w:r w:rsidRPr="000049F1">
              <w:rPr>
                <w:rFonts w:cstheme="minorHAnsi"/>
                <w:color w:val="002060"/>
              </w:rPr>
              <w:t xml:space="preserve"> vor fi derulate de </w:t>
            </w:r>
            <w:proofErr w:type="spellStart"/>
            <w:r w:rsidRPr="000049F1">
              <w:rPr>
                <w:rFonts w:cstheme="minorHAnsi"/>
                <w:color w:val="002060"/>
              </w:rPr>
              <w:t>experţi</w:t>
            </w:r>
            <w:proofErr w:type="spellEnd"/>
            <w:r w:rsidRPr="000049F1">
              <w:rPr>
                <w:rFonts w:cstheme="minorHAnsi"/>
                <w:color w:val="002060"/>
              </w:rPr>
              <w:t xml:space="preserve"> </w:t>
            </w:r>
            <w:proofErr w:type="spellStart"/>
            <w:r w:rsidRPr="000049F1">
              <w:rPr>
                <w:rFonts w:cstheme="minorHAnsi"/>
                <w:color w:val="002060"/>
              </w:rPr>
              <w:t>atestaţi</w:t>
            </w:r>
            <w:proofErr w:type="spellEnd"/>
            <w:r w:rsidRPr="000049F1">
              <w:rPr>
                <w:rFonts w:cstheme="minorHAnsi"/>
                <w:color w:val="002060"/>
              </w:rPr>
              <w:t xml:space="preserve"> (Registrul </w:t>
            </w:r>
            <w:proofErr w:type="spellStart"/>
            <w:r w:rsidRPr="000049F1">
              <w:rPr>
                <w:rFonts w:cstheme="minorHAnsi"/>
                <w:color w:val="002060"/>
              </w:rPr>
              <w:t>experţilor</w:t>
            </w:r>
            <w:proofErr w:type="spellEnd"/>
            <w:r w:rsidRPr="000049F1">
              <w:rPr>
                <w:rFonts w:cstheme="minorHAnsi"/>
                <w:color w:val="002060"/>
              </w:rPr>
              <w:t xml:space="preserve"> </w:t>
            </w:r>
            <w:proofErr w:type="spellStart"/>
            <w:r w:rsidRPr="000049F1">
              <w:rPr>
                <w:rFonts w:cstheme="minorHAnsi"/>
                <w:color w:val="002060"/>
              </w:rPr>
              <w:t>atestaţi</w:t>
            </w:r>
            <w:proofErr w:type="spellEnd"/>
            <w:r w:rsidRPr="000049F1">
              <w:rPr>
                <w:rFonts w:cstheme="minorHAnsi"/>
                <w:color w:val="002060"/>
              </w:rPr>
              <w:t xml:space="preserve"> pentru elaborarea de studii de mediu – Tipuri de studii: Monitorizarea </w:t>
            </w:r>
            <w:proofErr w:type="spellStart"/>
            <w:r w:rsidRPr="000049F1">
              <w:rPr>
                <w:rFonts w:cstheme="minorHAnsi"/>
                <w:color w:val="002060"/>
              </w:rPr>
              <w:t>biodiversităţii</w:t>
            </w:r>
            <w:proofErr w:type="spellEnd"/>
            <w:r w:rsidRPr="000049F1">
              <w:rPr>
                <w:rFonts w:cstheme="minorHAnsi"/>
                <w:color w:val="002060"/>
              </w:rPr>
              <w:t xml:space="preserve"> „MB”). </w:t>
            </w:r>
            <w:proofErr w:type="spellStart"/>
            <w:r w:rsidRPr="000049F1">
              <w:rPr>
                <w:rFonts w:cstheme="minorHAnsi"/>
                <w:color w:val="002060"/>
              </w:rPr>
              <w:t>Experţii</w:t>
            </w:r>
            <w:proofErr w:type="spellEnd"/>
            <w:r w:rsidRPr="000049F1">
              <w:rPr>
                <w:rFonts w:cstheme="minorHAnsi"/>
                <w:color w:val="002060"/>
              </w:rPr>
              <w:t xml:space="preserve"> trebuie să propună măsurile adecvate pentru realizarea lucrărilor fără afectarea </w:t>
            </w:r>
            <w:r w:rsidRPr="000049F1">
              <w:rPr>
                <w:rFonts w:cstheme="minorHAnsi"/>
                <w:color w:val="002060"/>
              </w:rPr>
              <w:lastRenderedPageBreak/>
              <w:t xml:space="preserve">indivizilor, cuiburilor </w:t>
            </w:r>
            <w:proofErr w:type="spellStart"/>
            <w:r w:rsidRPr="000049F1">
              <w:rPr>
                <w:rFonts w:cstheme="minorHAnsi"/>
                <w:color w:val="002060"/>
              </w:rPr>
              <w:t>şi</w:t>
            </w:r>
            <w:proofErr w:type="spellEnd"/>
            <w:r w:rsidRPr="000049F1">
              <w:rPr>
                <w:rFonts w:cstheme="minorHAnsi"/>
                <w:color w:val="002060"/>
              </w:rPr>
              <w:t xml:space="preserve"> a adăposturilor, în conformitate cu </w:t>
            </w:r>
            <w:proofErr w:type="spellStart"/>
            <w:r w:rsidRPr="000049F1">
              <w:rPr>
                <w:rFonts w:cstheme="minorHAnsi"/>
                <w:color w:val="002060"/>
              </w:rPr>
              <w:t>cerinţele</w:t>
            </w:r>
            <w:proofErr w:type="spellEnd"/>
            <w:r w:rsidRPr="000049F1">
              <w:rPr>
                <w:rFonts w:cstheme="minorHAnsi"/>
                <w:color w:val="002060"/>
              </w:rPr>
              <w:t xml:space="preserve"> </w:t>
            </w:r>
            <w:proofErr w:type="spellStart"/>
            <w:r w:rsidRPr="000049F1">
              <w:rPr>
                <w:rFonts w:cstheme="minorHAnsi"/>
                <w:color w:val="002060"/>
              </w:rPr>
              <w:t>legislaţiei</w:t>
            </w:r>
            <w:proofErr w:type="spellEnd"/>
            <w:r w:rsidRPr="000049F1">
              <w:rPr>
                <w:rFonts w:cstheme="minorHAnsi"/>
                <w:color w:val="002060"/>
              </w:rPr>
              <w:t xml:space="preserve"> de mediu în vigoare.</w:t>
            </w:r>
          </w:p>
          <w:p w14:paraId="260B46AF" w14:textId="77777777" w:rsidR="00927BCC" w:rsidRPr="000049F1" w:rsidRDefault="00927BCC" w:rsidP="00927BCC">
            <w:pPr>
              <w:spacing w:before="60"/>
              <w:jc w:val="both"/>
              <w:rPr>
                <w:rFonts w:cstheme="minorHAnsi"/>
                <w:color w:val="002060"/>
              </w:rPr>
            </w:pPr>
            <w:r w:rsidRPr="000049F1">
              <w:rPr>
                <w:rFonts w:cstheme="minorHAnsi"/>
                <w:color w:val="002060"/>
              </w:rPr>
              <w:t xml:space="preserve">În cazul clădirilor în care au fost dezafectate adăposturi / cuiburi, vor fi adoptate </w:t>
            </w:r>
            <w:proofErr w:type="spellStart"/>
            <w:r w:rsidRPr="000049F1">
              <w:rPr>
                <w:rFonts w:cstheme="minorHAnsi"/>
                <w:color w:val="002060"/>
              </w:rPr>
              <w:t>soluţii</w:t>
            </w:r>
            <w:proofErr w:type="spellEnd"/>
            <w:r w:rsidRPr="000049F1">
              <w:rPr>
                <w:rFonts w:cstheme="minorHAnsi"/>
                <w:color w:val="002060"/>
              </w:rPr>
              <w:t xml:space="preserve"> de instalare a unor adăposturi / cuiburi artificiale, utilizând de </w:t>
            </w:r>
            <w:proofErr w:type="spellStart"/>
            <w:r w:rsidRPr="000049F1">
              <w:rPr>
                <w:rFonts w:cstheme="minorHAnsi"/>
                <w:color w:val="002060"/>
              </w:rPr>
              <w:t>preferinţă</w:t>
            </w:r>
            <w:proofErr w:type="spellEnd"/>
            <w:r w:rsidRPr="000049F1">
              <w:rPr>
                <w:rFonts w:cstheme="minorHAnsi"/>
                <w:color w:val="002060"/>
              </w:rPr>
              <w:t xml:space="preserve"> </w:t>
            </w:r>
            <w:proofErr w:type="spellStart"/>
            <w:r w:rsidRPr="000049F1">
              <w:rPr>
                <w:rFonts w:cstheme="minorHAnsi"/>
                <w:color w:val="002060"/>
              </w:rPr>
              <w:t>soluţii</w:t>
            </w:r>
            <w:proofErr w:type="spellEnd"/>
            <w:r w:rsidRPr="000049F1">
              <w:rPr>
                <w:rFonts w:cstheme="minorHAnsi"/>
                <w:color w:val="002060"/>
              </w:rPr>
              <w:t xml:space="preserve"> durabile (durată lungă de </w:t>
            </w:r>
            <w:proofErr w:type="spellStart"/>
            <w:r w:rsidRPr="000049F1">
              <w:rPr>
                <w:rFonts w:cstheme="minorHAnsi"/>
                <w:color w:val="002060"/>
              </w:rPr>
              <w:t>viaţă</w:t>
            </w:r>
            <w:proofErr w:type="spellEnd"/>
            <w:r w:rsidRPr="000049F1">
              <w:rPr>
                <w:rFonts w:cstheme="minorHAnsi"/>
                <w:color w:val="002060"/>
              </w:rPr>
              <w:t xml:space="preserve">) precum adăposturile incorporate în </w:t>
            </w:r>
            <w:proofErr w:type="spellStart"/>
            <w:r w:rsidRPr="000049F1">
              <w:rPr>
                <w:rFonts w:cstheme="minorHAnsi"/>
                <w:color w:val="002060"/>
              </w:rPr>
              <w:t>construcţii</w:t>
            </w:r>
            <w:proofErr w:type="spellEnd"/>
            <w:r w:rsidRPr="000049F1">
              <w:rPr>
                <w:rFonts w:cstheme="minorHAnsi"/>
                <w:color w:val="002060"/>
              </w:rPr>
              <w:t>.</w:t>
            </w:r>
          </w:p>
        </w:tc>
        <w:tc>
          <w:tcPr>
            <w:tcW w:w="1530" w:type="dxa"/>
            <w:tcBorders>
              <w:bottom w:val="single" w:sz="4" w:space="0" w:color="auto"/>
            </w:tcBorders>
            <w:shd w:val="clear" w:color="auto" w:fill="FBE4D5" w:themeFill="accent2" w:themeFillTint="33"/>
          </w:tcPr>
          <w:p w14:paraId="19A35D00" w14:textId="77777777" w:rsidR="00927BCC" w:rsidRPr="00646A0A" w:rsidRDefault="00927BCC" w:rsidP="00927BCC">
            <w:pPr>
              <w:spacing w:before="60"/>
              <w:jc w:val="both"/>
              <w:rPr>
                <w:rFonts w:cstheme="minorHAnsi"/>
                <w:b/>
                <w:bCs/>
                <w:color w:val="002060"/>
              </w:rPr>
            </w:pPr>
            <w:r w:rsidRPr="00646A0A">
              <w:rPr>
                <w:rFonts w:cstheme="minorHAnsi"/>
                <w:b/>
                <w:bCs/>
                <w:color w:val="002060"/>
              </w:rPr>
              <w:lastRenderedPageBreak/>
              <w:t>Cerință de eligibilitate</w:t>
            </w:r>
          </w:p>
        </w:tc>
        <w:tc>
          <w:tcPr>
            <w:tcW w:w="3600" w:type="dxa"/>
            <w:tcBorders>
              <w:bottom w:val="single" w:sz="4" w:space="0" w:color="auto"/>
            </w:tcBorders>
            <w:shd w:val="clear" w:color="auto" w:fill="FBE4D5" w:themeFill="accent2" w:themeFillTint="33"/>
          </w:tcPr>
          <w:p w14:paraId="2B339009" w14:textId="77777777" w:rsidR="00927BCC" w:rsidRPr="00646A0A" w:rsidRDefault="00927BCC" w:rsidP="00927BCC">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429643C" w14:textId="77777777" w:rsidR="00927BCC" w:rsidRPr="00646A0A" w:rsidRDefault="00927BCC" w:rsidP="00927BCC">
            <w:pPr>
              <w:spacing w:before="60"/>
              <w:jc w:val="both"/>
              <w:rPr>
                <w:rFonts w:cstheme="minorHAnsi"/>
                <w:color w:val="002060"/>
              </w:rPr>
            </w:pPr>
          </w:p>
          <w:p w14:paraId="72F75020" w14:textId="77777777" w:rsidR="00927BCC" w:rsidRPr="00646A0A" w:rsidRDefault="00927BCC" w:rsidP="00927BCC">
            <w:pPr>
              <w:spacing w:before="60"/>
              <w:jc w:val="both"/>
              <w:rPr>
                <w:rFonts w:cstheme="minorHAnsi"/>
                <w:color w:val="002060"/>
              </w:rPr>
            </w:pPr>
            <w:r w:rsidRPr="00646A0A">
              <w:rPr>
                <w:rFonts w:cstheme="minorHAnsi"/>
                <w:color w:val="002060"/>
              </w:rPr>
              <w:t xml:space="preserve">Solicitantul </w:t>
            </w:r>
            <w:proofErr w:type="spellStart"/>
            <w:r w:rsidRPr="00646A0A">
              <w:rPr>
                <w:rFonts w:cstheme="minorHAnsi"/>
                <w:color w:val="002060"/>
              </w:rPr>
              <w:t>îşi</w:t>
            </w:r>
            <w:proofErr w:type="spellEnd"/>
            <w:r w:rsidRPr="00646A0A">
              <w:rPr>
                <w:rFonts w:cstheme="minorHAnsi"/>
                <w:color w:val="002060"/>
              </w:rPr>
              <w:t xml:space="preserve"> asumă că anterior demarării lucrărilor de renovare la exterior a clădirilor,  va realiza o identificare a eventualei </w:t>
            </w:r>
            <w:proofErr w:type="spellStart"/>
            <w:r w:rsidRPr="00646A0A">
              <w:rPr>
                <w:rFonts w:cstheme="minorHAnsi"/>
                <w:color w:val="002060"/>
              </w:rPr>
              <w:t>prezenţe</w:t>
            </w:r>
            <w:proofErr w:type="spellEnd"/>
            <w:r w:rsidRPr="00646A0A">
              <w:rPr>
                <w:rFonts w:cstheme="minorHAnsi"/>
                <w:color w:val="002060"/>
              </w:rPr>
              <w:t xml:space="preserve"> a </w:t>
            </w:r>
            <w:r w:rsidRPr="00646A0A">
              <w:rPr>
                <w:rFonts w:cstheme="minorHAnsi"/>
                <w:color w:val="002060"/>
              </w:rPr>
              <w:lastRenderedPageBreak/>
              <w:t xml:space="preserve">indivizilor de lilieci </w:t>
            </w:r>
            <w:proofErr w:type="spellStart"/>
            <w:r w:rsidRPr="00646A0A">
              <w:rPr>
                <w:rFonts w:cstheme="minorHAnsi"/>
                <w:color w:val="002060"/>
              </w:rPr>
              <w:t>şi</w:t>
            </w:r>
            <w:proofErr w:type="spellEnd"/>
            <w:r w:rsidRPr="00646A0A">
              <w:rPr>
                <w:rFonts w:cstheme="minorHAnsi"/>
                <w:color w:val="002060"/>
              </w:rPr>
              <w:t xml:space="preserve"> păsări precum </w:t>
            </w:r>
            <w:proofErr w:type="spellStart"/>
            <w:r w:rsidRPr="00646A0A">
              <w:rPr>
                <w:rFonts w:cstheme="minorHAnsi"/>
                <w:color w:val="002060"/>
              </w:rPr>
              <w:t>şi</w:t>
            </w:r>
            <w:proofErr w:type="spellEnd"/>
            <w:r w:rsidRPr="00646A0A">
              <w:rPr>
                <w:rFonts w:cstheme="minorHAnsi"/>
                <w:color w:val="002060"/>
              </w:rPr>
              <w:t xml:space="preserve"> a </w:t>
            </w:r>
            <w:proofErr w:type="spellStart"/>
            <w:r w:rsidRPr="00646A0A">
              <w:rPr>
                <w:rFonts w:cstheme="minorHAnsi"/>
                <w:color w:val="002060"/>
              </w:rPr>
              <w:t>prezenţei</w:t>
            </w:r>
            <w:proofErr w:type="spellEnd"/>
            <w:r w:rsidRPr="00646A0A">
              <w:rPr>
                <w:rFonts w:cstheme="minorHAnsi"/>
                <w:color w:val="002060"/>
              </w:rPr>
              <w:t xml:space="preserve"> de adăposturi </w:t>
            </w:r>
            <w:proofErr w:type="spellStart"/>
            <w:r w:rsidRPr="00646A0A">
              <w:rPr>
                <w:rFonts w:cstheme="minorHAnsi"/>
                <w:color w:val="002060"/>
              </w:rPr>
              <w:t>şi</w:t>
            </w:r>
            <w:proofErr w:type="spellEnd"/>
            <w:r w:rsidRPr="00646A0A">
              <w:rPr>
                <w:rFonts w:cstheme="minorHAnsi"/>
                <w:color w:val="002060"/>
              </w:rPr>
              <w:t xml:space="preserve"> cuiburi ale acestora conform cerinței. </w:t>
            </w:r>
          </w:p>
          <w:p w14:paraId="14C9BF0F" w14:textId="77777777" w:rsidR="00927BCC" w:rsidRPr="00646A0A" w:rsidRDefault="00927BCC" w:rsidP="00927BCC">
            <w:pPr>
              <w:spacing w:before="60"/>
              <w:jc w:val="both"/>
              <w:rPr>
                <w:rFonts w:cstheme="minorHAnsi"/>
                <w:color w:val="002060"/>
              </w:rPr>
            </w:pPr>
          </w:p>
        </w:tc>
        <w:tc>
          <w:tcPr>
            <w:tcW w:w="2430" w:type="dxa"/>
            <w:tcBorders>
              <w:bottom w:val="single" w:sz="4" w:space="0" w:color="auto"/>
            </w:tcBorders>
            <w:shd w:val="clear" w:color="auto" w:fill="FBE4D5" w:themeFill="accent2" w:themeFillTint="33"/>
          </w:tcPr>
          <w:p w14:paraId="1AB3576D" w14:textId="77777777" w:rsidR="00927BCC" w:rsidRPr="00646A0A" w:rsidRDefault="00927BCC" w:rsidP="00927BCC">
            <w:pPr>
              <w:spacing w:before="60"/>
              <w:jc w:val="both"/>
              <w:rPr>
                <w:rFonts w:cstheme="minorHAnsi"/>
                <w:color w:val="002060"/>
              </w:rPr>
            </w:pPr>
            <w:r w:rsidRPr="00646A0A">
              <w:rPr>
                <w:rFonts w:cstheme="minorHAnsi"/>
                <w:color w:val="002060"/>
              </w:rPr>
              <w:lastRenderedPageBreak/>
              <w:t xml:space="preserve">SF/DALI/PT și buget/Raport/Studiu privind monitorizarea </w:t>
            </w:r>
            <w:proofErr w:type="spellStart"/>
            <w:r w:rsidRPr="00646A0A">
              <w:rPr>
                <w:rFonts w:cstheme="minorHAnsi"/>
                <w:color w:val="002060"/>
              </w:rPr>
              <w:t>biodiversităţii</w:t>
            </w:r>
            <w:proofErr w:type="spellEnd"/>
          </w:p>
        </w:tc>
        <w:tc>
          <w:tcPr>
            <w:tcW w:w="4320" w:type="dxa"/>
            <w:tcBorders>
              <w:bottom w:val="single" w:sz="4" w:space="0" w:color="auto"/>
            </w:tcBorders>
            <w:shd w:val="clear" w:color="auto" w:fill="FBE4D5" w:themeFill="accent2" w:themeFillTint="33"/>
          </w:tcPr>
          <w:p w14:paraId="6D2DB42E" w14:textId="77777777" w:rsidR="00927BCC" w:rsidRPr="00646A0A" w:rsidRDefault="00927BCC" w:rsidP="00927BCC">
            <w:pPr>
              <w:pStyle w:val="ListParagraph"/>
              <w:numPr>
                <w:ilvl w:val="0"/>
                <w:numId w:val="15"/>
              </w:numPr>
              <w:spacing w:before="60"/>
              <w:contextualSpacing w:val="0"/>
              <w:jc w:val="both"/>
              <w:rPr>
                <w:rFonts w:cstheme="minorHAnsi"/>
                <w:color w:val="002060"/>
              </w:rPr>
            </w:pPr>
            <w:r w:rsidRPr="00646A0A">
              <w:rPr>
                <w:rFonts w:cstheme="minorHAnsi"/>
                <w:color w:val="002060"/>
              </w:rPr>
              <w:t>Raportul SEA aferent PS</w:t>
            </w:r>
          </w:p>
          <w:p w14:paraId="0D6642C6" w14:textId="77777777" w:rsidR="00927BCC" w:rsidRPr="00646A0A" w:rsidRDefault="00927BCC" w:rsidP="00927BCC">
            <w:pPr>
              <w:spacing w:before="60"/>
              <w:jc w:val="both"/>
              <w:rPr>
                <w:rFonts w:cstheme="minorHAnsi"/>
                <w:color w:val="002060"/>
              </w:rPr>
            </w:pPr>
          </w:p>
        </w:tc>
      </w:tr>
      <w:tr w:rsidR="00927BCC" w:rsidRPr="00373D14" w14:paraId="426C43E7" w14:textId="77777777" w:rsidTr="00D479A3">
        <w:tc>
          <w:tcPr>
            <w:tcW w:w="1890" w:type="dxa"/>
            <w:vMerge/>
          </w:tcPr>
          <w:p w14:paraId="05038371" w14:textId="77777777" w:rsidR="00927BCC" w:rsidRPr="00646A0A" w:rsidRDefault="00927BCC" w:rsidP="00927BCC">
            <w:pPr>
              <w:spacing w:before="60"/>
              <w:jc w:val="both"/>
              <w:rPr>
                <w:rFonts w:cstheme="minorHAnsi"/>
                <w:b/>
                <w:bCs/>
                <w:color w:val="002060"/>
              </w:rPr>
            </w:pPr>
          </w:p>
        </w:tc>
        <w:tc>
          <w:tcPr>
            <w:tcW w:w="7110" w:type="dxa"/>
            <w:shd w:val="clear" w:color="auto" w:fill="E2EFD9" w:themeFill="accent6" w:themeFillTint="33"/>
          </w:tcPr>
          <w:p w14:paraId="72D6316E"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E334FAF" w14:textId="77777777" w:rsidR="00927BCC" w:rsidRPr="000049F1" w:rsidRDefault="00927BCC" w:rsidP="00927BCC">
            <w:pPr>
              <w:spacing w:before="60"/>
              <w:jc w:val="both"/>
              <w:rPr>
                <w:rFonts w:cstheme="minorHAnsi"/>
                <w:color w:val="002060"/>
              </w:rPr>
            </w:pPr>
            <w:r w:rsidRPr="000049F1">
              <w:rPr>
                <w:rFonts w:cstheme="minorHAnsi"/>
                <w:color w:val="002060"/>
              </w:rPr>
              <w:t xml:space="preserve">Toate investițiile ce propun sisteme de iluminare artificială la exterior se vor realiza cu implementarea uneia sau mai multora dintre următoarelor </w:t>
            </w:r>
            <w:proofErr w:type="spellStart"/>
            <w:r w:rsidRPr="000049F1">
              <w:rPr>
                <w:rFonts w:cstheme="minorHAnsi"/>
                <w:color w:val="002060"/>
              </w:rPr>
              <w:t>soluţii</w:t>
            </w:r>
            <w:proofErr w:type="spellEnd"/>
            <w:r w:rsidRPr="000049F1">
              <w:rPr>
                <w:rFonts w:cstheme="minorHAnsi"/>
                <w:color w:val="002060"/>
              </w:rPr>
              <w:t>:</w:t>
            </w:r>
          </w:p>
          <w:p w14:paraId="3184B6D4" w14:textId="77777777" w:rsidR="00927BCC" w:rsidRPr="000049F1" w:rsidRDefault="00927BCC" w:rsidP="00927BCC">
            <w:pPr>
              <w:spacing w:before="60"/>
              <w:jc w:val="both"/>
              <w:rPr>
                <w:rFonts w:cstheme="minorHAnsi"/>
                <w:color w:val="002060"/>
              </w:rPr>
            </w:pPr>
            <w:r w:rsidRPr="000049F1">
              <w:rPr>
                <w:rFonts w:cstheme="minorHAnsi"/>
                <w:color w:val="002060"/>
              </w:rPr>
              <w:t>1. Reducerea supra-iluminării (lumini prea puternice);</w:t>
            </w:r>
          </w:p>
          <w:p w14:paraId="4B66BD14" w14:textId="77777777" w:rsidR="00927BCC" w:rsidRPr="000049F1" w:rsidRDefault="00927BCC" w:rsidP="00927BCC">
            <w:pPr>
              <w:spacing w:before="60"/>
              <w:jc w:val="both"/>
              <w:rPr>
                <w:rFonts w:cstheme="minorHAnsi"/>
                <w:color w:val="002060"/>
              </w:rPr>
            </w:pPr>
            <w:r w:rsidRPr="000049F1">
              <w:rPr>
                <w:rFonts w:cstheme="minorHAnsi"/>
                <w:color w:val="002060"/>
              </w:rPr>
              <w:t xml:space="preserve">2. Orientarea </w:t>
            </w:r>
            <w:proofErr w:type="spellStart"/>
            <w:r w:rsidRPr="000049F1">
              <w:rPr>
                <w:rFonts w:cstheme="minorHAnsi"/>
                <w:color w:val="002060"/>
              </w:rPr>
              <w:t>şi</w:t>
            </w:r>
            <w:proofErr w:type="spellEnd"/>
            <w:r w:rsidRPr="000049F1">
              <w:rPr>
                <w:rFonts w:cstheme="minorHAnsi"/>
                <w:color w:val="002060"/>
              </w:rPr>
              <w:t xml:space="preserve"> ecranarea surselor de lumină (menținerea luminii în limita proprietății sau a zonei desemnate pentru iluminare);</w:t>
            </w:r>
          </w:p>
          <w:p w14:paraId="3F708ED8" w14:textId="77777777" w:rsidR="00927BCC" w:rsidRPr="000049F1" w:rsidRDefault="00927BCC" w:rsidP="00927BCC">
            <w:pPr>
              <w:spacing w:before="60"/>
              <w:jc w:val="both"/>
              <w:rPr>
                <w:rFonts w:cstheme="minorHAnsi"/>
                <w:color w:val="002060"/>
              </w:rPr>
            </w:pPr>
            <w:r w:rsidRPr="000049F1">
              <w:rPr>
                <w:rFonts w:cstheme="minorHAnsi"/>
                <w:color w:val="002060"/>
              </w:rPr>
              <w:t>3. Evitarea grupării excesive a luminii (iluminarea doar a zonelor în care este cu adevărat necesar);</w:t>
            </w:r>
          </w:p>
          <w:p w14:paraId="5C24C17E" w14:textId="77777777" w:rsidR="00927BCC" w:rsidRPr="000049F1" w:rsidRDefault="00927BCC" w:rsidP="00927BCC">
            <w:pPr>
              <w:spacing w:before="60"/>
              <w:jc w:val="both"/>
              <w:rPr>
                <w:rFonts w:cstheme="minorHAnsi"/>
                <w:color w:val="002060"/>
              </w:rPr>
            </w:pPr>
            <w:r w:rsidRPr="000049F1">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0049F1" w:rsidRDefault="00927BCC" w:rsidP="00927BCC">
            <w:pPr>
              <w:spacing w:before="60"/>
              <w:jc w:val="both"/>
              <w:rPr>
                <w:rFonts w:cstheme="minorHAnsi"/>
                <w:b/>
                <w:bCs/>
                <w:color w:val="002060"/>
              </w:rPr>
            </w:pPr>
            <w:r w:rsidRPr="000049F1">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E2EFD9" w:themeFill="accent6" w:themeFillTint="33"/>
          </w:tcPr>
          <w:p w14:paraId="29F32099"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F366878" w14:textId="77777777" w:rsidR="00927BCC" w:rsidRPr="00646A0A" w:rsidRDefault="00927BCC" w:rsidP="00927BCC">
            <w:pPr>
              <w:spacing w:before="60"/>
              <w:jc w:val="both"/>
              <w:rPr>
                <w:rFonts w:cstheme="minorHAnsi"/>
                <w:color w:val="002060"/>
              </w:rPr>
            </w:pPr>
            <w:r w:rsidRPr="00646A0A">
              <w:rPr>
                <w:rFonts w:cstheme="minorHAnsi"/>
                <w:color w:val="002060"/>
              </w:rPr>
              <w:t xml:space="preserve">Se acordă punctaj suplimentar dacă, în cadrul documentației </w:t>
            </w:r>
            <w:proofErr w:type="spellStart"/>
            <w:r w:rsidRPr="00646A0A">
              <w:rPr>
                <w:rFonts w:cstheme="minorHAnsi"/>
                <w:color w:val="002060"/>
              </w:rPr>
              <w:t>tehnico</w:t>
            </w:r>
            <w:proofErr w:type="spellEnd"/>
            <w:r w:rsidRPr="00646A0A">
              <w:rPr>
                <w:rFonts w:cstheme="minorHAnsi"/>
                <w:color w:val="002060"/>
              </w:rPr>
              <w:t xml:space="preserve"> economice sunt incluse soluțiile din cerință.</w:t>
            </w:r>
          </w:p>
          <w:p w14:paraId="1552AA19" w14:textId="77777777" w:rsidR="00927BCC" w:rsidRPr="00646A0A" w:rsidRDefault="00927BCC" w:rsidP="00927BCC">
            <w:pPr>
              <w:spacing w:before="60"/>
              <w:jc w:val="both"/>
              <w:rPr>
                <w:rFonts w:cstheme="minorHAnsi"/>
                <w:color w:val="002060"/>
              </w:rPr>
            </w:pPr>
          </w:p>
          <w:p w14:paraId="1F544724" w14:textId="77777777" w:rsidR="00927BCC" w:rsidRPr="00646A0A" w:rsidRDefault="00927BCC" w:rsidP="00927BCC">
            <w:pPr>
              <w:spacing w:before="60"/>
              <w:jc w:val="both"/>
              <w:rPr>
                <w:rFonts w:cstheme="minorHAnsi"/>
                <w:b/>
                <w:bCs/>
                <w:color w:val="002060"/>
              </w:rPr>
            </w:pPr>
          </w:p>
        </w:tc>
        <w:tc>
          <w:tcPr>
            <w:tcW w:w="2430" w:type="dxa"/>
            <w:shd w:val="clear" w:color="auto" w:fill="E2EFD9" w:themeFill="accent6" w:themeFillTint="33"/>
          </w:tcPr>
          <w:p w14:paraId="7F3A038B" w14:textId="77777777" w:rsidR="00927BCC" w:rsidRPr="00646A0A" w:rsidRDefault="00927BCC" w:rsidP="00927BCC">
            <w:pPr>
              <w:spacing w:before="60"/>
              <w:jc w:val="both"/>
              <w:rPr>
                <w:rFonts w:cstheme="minorHAnsi"/>
                <w:color w:val="002060"/>
              </w:rPr>
            </w:pPr>
            <w:r w:rsidRPr="00646A0A">
              <w:rPr>
                <w:rFonts w:cstheme="minorHAnsi"/>
                <w:color w:val="002060"/>
              </w:rPr>
              <w:t>Introducerea în SF/DALI/PT a tuturor cerințelor</w:t>
            </w:r>
          </w:p>
        </w:tc>
        <w:tc>
          <w:tcPr>
            <w:tcW w:w="4320" w:type="dxa"/>
            <w:shd w:val="clear" w:color="auto" w:fill="E2EFD9" w:themeFill="accent6" w:themeFillTint="33"/>
          </w:tcPr>
          <w:p w14:paraId="6FA6F908" w14:textId="77777777" w:rsidR="00927BCC" w:rsidRPr="00646A0A" w:rsidRDefault="00927BCC" w:rsidP="00927BCC">
            <w:pPr>
              <w:pStyle w:val="ListParagraph"/>
              <w:numPr>
                <w:ilvl w:val="0"/>
                <w:numId w:val="15"/>
              </w:numPr>
              <w:spacing w:before="60"/>
              <w:contextualSpacing w:val="0"/>
              <w:jc w:val="both"/>
              <w:rPr>
                <w:rFonts w:cstheme="minorHAnsi"/>
                <w:color w:val="002060"/>
              </w:rPr>
            </w:pPr>
            <w:r w:rsidRPr="00646A0A">
              <w:rPr>
                <w:rFonts w:cstheme="minorHAnsi"/>
                <w:color w:val="002060"/>
              </w:rPr>
              <w:t>Raportul SEA aferent PS</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9"/>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70630" w14:textId="77777777" w:rsidR="00750001" w:rsidRDefault="00750001" w:rsidP="00373D14">
      <w:pPr>
        <w:spacing w:after="0" w:line="240" w:lineRule="auto"/>
      </w:pPr>
      <w:r>
        <w:separator/>
      </w:r>
    </w:p>
  </w:endnote>
  <w:endnote w:type="continuationSeparator" w:id="0">
    <w:p w14:paraId="09F79A6F" w14:textId="77777777" w:rsidR="00750001" w:rsidRDefault="00750001"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80FBA" w14:textId="77777777" w:rsidR="00750001" w:rsidRDefault="00750001" w:rsidP="00373D14">
      <w:pPr>
        <w:spacing w:after="0" w:line="240" w:lineRule="auto"/>
      </w:pPr>
      <w:r>
        <w:separator/>
      </w:r>
    </w:p>
  </w:footnote>
  <w:footnote w:type="continuationSeparator" w:id="0">
    <w:p w14:paraId="5CF042AB" w14:textId="77777777" w:rsidR="00750001" w:rsidRDefault="00750001"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1E52C" w14:textId="6FEC65A6" w:rsidR="00402E2A" w:rsidRPr="00402E2A" w:rsidRDefault="00607FE9" w:rsidP="00402E2A">
    <w:pPr>
      <w:spacing w:before="60" w:after="0" w:line="240" w:lineRule="auto"/>
      <w:ind w:right="120"/>
      <w:jc w:val="center"/>
      <w:rPr>
        <w:rFonts w:eastAsia="Calibri" w:cstheme="minorHAnsi"/>
        <w:b/>
        <w:bCs/>
        <w:color w:val="002060"/>
      </w:rPr>
    </w:pPr>
    <w:bookmarkStart w:id="3" w:name="_Hlk134874451"/>
    <w:bookmarkStart w:id="4" w:name="_Hlk139976622"/>
    <w:r w:rsidRPr="009741DC">
      <w:rPr>
        <w:b/>
        <w:bCs/>
        <w:color w:val="002060"/>
        <w:sz w:val="24"/>
        <w:szCs w:val="24"/>
      </w:rPr>
      <w:t xml:space="preserve">Ghidul solicitantului: </w:t>
    </w:r>
    <w:bookmarkEnd w:id="3"/>
    <w:bookmarkEnd w:id="4"/>
    <w:r w:rsidR="007A243F" w:rsidRPr="007A243F">
      <w:rPr>
        <w:rFonts w:eastAsia="Calibri" w:cstheme="minorHAnsi"/>
        <w:b/>
        <w:bCs/>
        <w:color w:val="002060"/>
      </w:rPr>
      <w:t>Investiții în infrastructura publică a laboratoarelor regionale de sănătate publică  din centrele regionale de sănătate publică din cadrul Institutului Național de Sănătate Publică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50D66"/>
    <w:rsid w:val="000A679A"/>
    <w:rsid w:val="000D6494"/>
    <w:rsid w:val="00152D67"/>
    <w:rsid w:val="001B527B"/>
    <w:rsid w:val="001C560F"/>
    <w:rsid w:val="00216238"/>
    <w:rsid w:val="00223A1F"/>
    <w:rsid w:val="00324AED"/>
    <w:rsid w:val="00373D14"/>
    <w:rsid w:val="003C6EF2"/>
    <w:rsid w:val="003D4E59"/>
    <w:rsid w:val="00402E2A"/>
    <w:rsid w:val="004063AB"/>
    <w:rsid w:val="00424F9D"/>
    <w:rsid w:val="004424F9"/>
    <w:rsid w:val="004660DD"/>
    <w:rsid w:val="00477C8C"/>
    <w:rsid w:val="004E317C"/>
    <w:rsid w:val="00604181"/>
    <w:rsid w:val="00607FE9"/>
    <w:rsid w:val="006204B7"/>
    <w:rsid w:val="00646A0A"/>
    <w:rsid w:val="00685EF9"/>
    <w:rsid w:val="006A55F1"/>
    <w:rsid w:val="006C36F8"/>
    <w:rsid w:val="006C65D6"/>
    <w:rsid w:val="00736A34"/>
    <w:rsid w:val="00750001"/>
    <w:rsid w:val="007647AF"/>
    <w:rsid w:val="00777F10"/>
    <w:rsid w:val="00792A79"/>
    <w:rsid w:val="007A243F"/>
    <w:rsid w:val="007C43DA"/>
    <w:rsid w:val="007E3A06"/>
    <w:rsid w:val="008030D2"/>
    <w:rsid w:val="00816500"/>
    <w:rsid w:val="00836A23"/>
    <w:rsid w:val="008A39E5"/>
    <w:rsid w:val="008D02A4"/>
    <w:rsid w:val="008E2A4B"/>
    <w:rsid w:val="009145F4"/>
    <w:rsid w:val="0092324C"/>
    <w:rsid w:val="00927BCC"/>
    <w:rsid w:val="00A157A4"/>
    <w:rsid w:val="00A17B12"/>
    <w:rsid w:val="00AA72E7"/>
    <w:rsid w:val="00AE5370"/>
    <w:rsid w:val="00AE6001"/>
    <w:rsid w:val="00B0636C"/>
    <w:rsid w:val="00BA5257"/>
    <w:rsid w:val="00C20AD2"/>
    <w:rsid w:val="00C90672"/>
    <w:rsid w:val="00CA3CFD"/>
    <w:rsid w:val="00CB180D"/>
    <w:rsid w:val="00CD2793"/>
    <w:rsid w:val="00CF45E8"/>
    <w:rsid w:val="00D03B7B"/>
    <w:rsid w:val="00D06AC5"/>
    <w:rsid w:val="00D3656C"/>
    <w:rsid w:val="00D479A3"/>
    <w:rsid w:val="00D659E9"/>
    <w:rsid w:val="00D90F64"/>
    <w:rsid w:val="00D96060"/>
    <w:rsid w:val="00DE53E5"/>
    <w:rsid w:val="00E02A56"/>
    <w:rsid w:val="00E10688"/>
    <w:rsid w:val="00E36E8D"/>
    <w:rsid w:val="00E47A71"/>
    <w:rsid w:val="00E651B4"/>
    <w:rsid w:val="00E660CB"/>
    <w:rsid w:val="00E677F1"/>
    <w:rsid w:val="00E70591"/>
    <w:rsid w:val="00F0040A"/>
    <w:rsid w:val="00F1667B"/>
    <w:rsid w:val="00F33310"/>
    <w:rsid w:val="00F463E3"/>
    <w:rsid w:val="00F92E8F"/>
    <w:rsid w:val="00F93D3D"/>
    <w:rsid w:val="00FC29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aliases w:val="Table Grid Arial,Table long document,ECORYS Tabela"/>
    <w:basedOn w:val="Table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D479A3"/>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link w:val="ListParagraph"/>
    <w:uiPriority w:val="34"/>
    <w:qFormat/>
    <w:locked/>
    <w:rsid w:val="00D479A3"/>
    <w:rPr>
      <w:kern w:val="0"/>
      <w14:ligatures w14:val="none"/>
    </w:rPr>
  </w:style>
  <w:style w:type="character" w:styleId="Hyperlink">
    <w:name w:val="Hyperlink"/>
    <w:basedOn w:val="DefaultParagraphFont"/>
    <w:uiPriority w:val="99"/>
    <w:unhideWhenUsed/>
    <w:rsid w:val="00D479A3"/>
    <w:rPr>
      <w:color w:val="0563C1" w:themeColor="hyperlink"/>
      <w:u w:val="single"/>
    </w:rPr>
  </w:style>
  <w:style w:type="character" w:customStyle="1" w:styleId="Heading2Char">
    <w:name w:val="Heading 2 Char"/>
    <w:basedOn w:val="DefaultParagraphFont"/>
    <w:link w:val="Heading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Header">
    <w:name w:val="header"/>
    <w:basedOn w:val="Normal"/>
    <w:link w:val="HeaderChar"/>
    <w:uiPriority w:val="99"/>
    <w:unhideWhenUsed/>
    <w:rsid w:val="00373D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3D14"/>
  </w:style>
  <w:style w:type="paragraph" w:styleId="Footer">
    <w:name w:val="footer"/>
    <w:basedOn w:val="Normal"/>
    <w:link w:val="FooterChar"/>
    <w:uiPriority w:val="99"/>
    <w:unhideWhenUsed/>
    <w:rsid w:val="00373D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3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3608</Words>
  <Characters>20568</Characters>
  <Application>Microsoft Office Word</Application>
  <DocSecurity>0</DocSecurity>
  <Lines>171</Lines>
  <Paragraphs>48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7</cp:revision>
  <dcterms:created xsi:type="dcterms:W3CDTF">2023-09-28T10:29:00Z</dcterms:created>
  <dcterms:modified xsi:type="dcterms:W3CDTF">2024-07-30T13:44:00Z</dcterms:modified>
</cp:coreProperties>
</file>