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E0266" w14:textId="1FD8E6C3" w:rsidR="00E761EB" w:rsidRDefault="00E761EB" w:rsidP="003F4569">
      <w:pPr>
        <w:spacing w:after="0" w:line="240" w:lineRule="auto"/>
        <w:jc w:val="right"/>
        <w:rPr>
          <w:rFonts w:ascii="Times New Roman" w:eastAsia="Trebuchet MS" w:hAnsi="Times New Roman" w:cs="Times New Roman"/>
          <w:b/>
        </w:rPr>
      </w:pPr>
      <w:r>
        <w:rPr>
          <w:rFonts w:ascii="Times New Roman" w:eastAsia="Trebuchet MS" w:hAnsi="Times New Roman" w:cs="Times New Roman"/>
          <w:b/>
        </w:rPr>
        <w:t>Model A – Declarația unica</w:t>
      </w:r>
    </w:p>
    <w:p w14:paraId="1160F61A" w14:textId="77777777" w:rsidR="003F4569" w:rsidRDefault="003F4569" w:rsidP="003F4569">
      <w:pPr>
        <w:spacing w:after="0" w:line="240" w:lineRule="auto"/>
        <w:jc w:val="right"/>
        <w:rPr>
          <w:rFonts w:ascii="Trebuchet MS" w:hAnsi="Trebuchet MS"/>
          <w:b/>
          <w:bCs/>
          <w:sz w:val="24"/>
          <w:szCs w:val="24"/>
        </w:rPr>
      </w:pPr>
    </w:p>
    <w:p w14:paraId="4FCDF38C" w14:textId="77777777"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FORMATUL ȘI STRUCTURA CADRU ALE DECLARAȚIEI UNICE</w:t>
      </w:r>
    </w:p>
    <w:p w14:paraId="2B05333A" w14:textId="77777777" w:rsidR="003F4569" w:rsidRDefault="003F4569" w:rsidP="003F4569">
      <w:pPr>
        <w:spacing w:after="0" w:line="240" w:lineRule="auto"/>
        <w:rPr>
          <w:rFonts w:ascii="Trebuchet MS" w:hAnsi="Trebuchet MS"/>
          <w:sz w:val="24"/>
          <w:szCs w:val="24"/>
        </w:rPr>
      </w:pPr>
      <w:bookmarkStart w:id="0" w:name="_Hlk131884682"/>
    </w:p>
    <w:p w14:paraId="018B0B18"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Program: </w:t>
      </w:r>
      <w:r>
        <w:rPr>
          <w:rFonts w:ascii="Trebuchet MS" w:hAnsi="Trebuchet MS"/>
          <w:sz w:val="24"/>
          <w:szCs w:val="24"/>
          <w:highlight w:val="lightGray"/>
        </w:rPr>
        <w:t>&lt;</w:t>
      </w:r>
      <w:r w:rsidR="00082F27" w:rsidRPr="00082F27">
        <w:t xml:space="preserve"> </w:t>
      </w:r>
      <w:r w:rsidR="00082F27" w:rsidRPr="00082F27">
        <w:rPr>
          <w:rFonts w:ascii="Trebuchet MS" w:hAnsi="Trebuchet MS"/>
          <w:sz w:val="24"/>
          <w:szCs w:val="24"/>
        </w:rPr>
        <w:t>PROGRAMUL REGIONAL SUD-VEST OLTENIA 2021-2027</w:t>
      </w:r>
      <w:r>
        <w:rPr>
          <w:rFonts w:ascii="Trebuchet MS" w:hAnsi="Trebuchet MS"/>
          <w:sz w:val="24"/>
          <w:szCs w:val="24"/>
          <w:highlight w:val="lightGray"/>
        </w:rPr>
        <w:t>&gt;</w:t>
      </w:r>
    </w:p>
    <w:p w14:paraId="4E355516"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Prioritate: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 xml:space="preserve">Prioritatea 6 – Educatie modernă și incluzivă </w:t>
      </w:r>
      <w:r>
        <w:rPr>
          <w:rFonts w:ascii="Trebuchet MS" w:hAnsi="Trebuchet MS"/>
          <w:sz w:val="24"/>
          <w:szCs w:val="24"/>
          <w:highlight w:val="lightGray"/>
        </w:rPr>
        <w:t>&gt;</w:t>
      </w:r>
    </w:p>
    <w:p w14:paraId="6F0DFDC3" w14:textId="3CE33739"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Obiectiv specific: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 xml:space="preserve">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 investiții în dezvoltarea infrastructurii educaționale pentru învățământ </w:t>
      </w:r>
      <w:r w:rsidR="005B0963">
        <w:rPr>
          <w:rFonts w:ascii="Trebuchet MS" w:hAnsi="Trebuchet MS"/>
          <w:sz w:val="24"/>
          <w:szCs w:val="24"/>
        </w:rPr>
        <w:t>primar si secundar</w:t>
      </w:r>
      <w:r>
        <w:rPr>
          <w:rFonts w:ascii="Trebuchet MS" w:hAnsi="Trebuchet MS"/>
          <w:sz w:val="24"/>
          <w:szCs w:val="24"/>
          <w:highlight w:val="lightGray"/>
        </w:rPr>
        <w:t>&gt;</w:t>
      </w:r>
    </w:p>
    <w:p w14:paraId="06CD262B" w14:textId="4F85E685"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Apel de proiecte: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PR SV/B1/6/4.</w:t>
      </w:r>
      <w:r w:rsidR="00B7760E">
        <w:rPr>
          <w:rFonts w:ascii="Trebuchet MS" w:hAnsi="Trebuchet MS"/>
          <w:sz w:val="24"/>
          <w:szCs w:val="24"/>
        </w:rPr>
        <w:t>2</w:t>
      </w:r>
      <w:r w:rsidR="00D115D2" w:rsidRPr="00D115D2">
        <w:rPr>
          <w:rFonts w:ascii="Trebuchet MS" w:hAnsi="Trebuchet MS"/>
          <w:sz w:val="24"/>
          <w:szCs w:val="24"/>
        </w:rPr>
        <w:t>/2023</w:t>
      </w:r>
      <w:r>
        <w:rPr>
          <w:rFonts w:ascii="Trebuchet MS" w:hAnsi="Trebuchet MS"/>
          <w:sz w:val="24"/>
          <w:szCs w:val="24"/>
          <w:highlight w:val="lightGray"/>
        </w:rPr>
        <w:t>&gt;</w:t>
      </w:r>
    </w:p>
    <w:p w14:paraId="073DEAB5" w14:textId="77777777"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Cod SMIS: </w:t>
      </w:r>
      <w:r>
        <w:rPr>
          <w:rFonts w:ascii="Trebuchet MS" w:hAnsi="Trebuchet MS"/>
          <w:sz w:val="24"/>
          <w:szCs w:val="24"/>
          <w:highlight w:val="lightGray"/>
        </w:rPr>
        <w:t>&lt;cod SMIS&gt;</w:t>
      </w:r>
    </w:p>
    <w:bookmarkEnd w:id="0"/>
    <w:p w14:paraId="6D61E63C" w14:textId="77777777" w:rsidR="003F4569" w:rsidRDefault="003F4569" w:rsidP="003F4569">
      <w:pPr>
        <w:spacing w:after="0" w:line="240" w:lineRule="auto"/>
        <w:rPr>
          <w:rFonts w:ascii="Trebuchet MS" w:hAnsi="Trebuchet MS"/>
          <w:sz w:val="24"/>
          <w:szCs w:val="24"/>
        </w:rPr>
      </w:pPr>
    </w:p>
    <w:p w14:paraId="5FCA8CBF" w14:textId="77777777"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DECLARAȚIE UNICĂ</w:t>
      </w:r>
    </w:p>
    <w:p w14:paraId="78866C73" w14:textId="77777777" w:rsidR="003F4569" w:rsidRDefault="003F4569" w:rsidP="003F4569">
      <w:pPr>
        <w:spacing w:after="0" w:line="240" w:lineRule="auto"/>
        <w:jc w:val="center"/>
        <w:rPr>
          <w:rFonts w:ascii="Trebuchet MS" w:hAnsi="Trebuchet MS"/>
          <w:b/>
          <w:sz w:val="24"/>
          <w:szCs w:val="24"/>
        </w:rPr>
      </w:pPr>
    </w:p>
    <w:p w14:paraId="57FB7BA6" w14:textId="77777777" w:rsidR="003F4569" w:rsidRDefault="003F4569" w:rsidP="003F4569">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 legale privind falsul în declarații și falsul intelectual, declar următoarele:</w:t>
      </w:r>
    </w:p>
    <w:p w14:paraId="65C38384" w14:textId="77777777" w:rsidR="003F4569" w:rsidRDefault="003F4569" w:rsidP="003F4569">
      <w:pPr>
        <w:pStyle w:val="bullet"/>
        <w:numPr>
          <w:ilvl w:val="0"/>
          <w:numId w:val="0"/>
        </w:numPr>
        <w:tabs>
          <w:tab w:val="left" w:pos="720"/>
        </w:tabs>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18995498" w14:textId="77777777" w:rsidR="003F4569" w:rsidRDefault="003F4569" w:rsidP="003F4569">
      <w:pPr>
        <w:pStyle w:val="bullet"/>
        <w:numPr>
          <w:ilvl w:val="0"/>
          <w:numId w:val="0"/>
        </w:numPr>
        <w:tabs>
          <w:tab w:val="left" w:pos="720"/>
        </w:tabs>
        <w:spacing w:before="0" w:after="0"/>
        <w:rPr>
          <w:sz w:val="24"/>
        </w:rPr>
      </w:pPr>
    </w:p>
    <w:p w14:paraId="4D4F0570" w14:textId="77777777" w:rsidR="003F4569" w:rsidRDefault="003F4569" w:rsidP="003F4569">
      <w:pPr>
        <w:pStyle w:val="bullet"/>
        <w:numPr>
          <w:ilvl w:val="0"/>
          <w:numId w:val="2"/>
        </w:numPr>
        <w:spacing w:before="0" w:after="0"/>
        <w:rPr>
          <w:b/>
          <w:iCs/>
          <w:sz w:val="24"/>
          <w:lang w:eastAsia="sk-SK"/>
        </w:rPr>
      </w:pPr>
      <w:r>
        <w:rPr>
          <w:b/>
          <w:iCs/>
          <w:sz w:val="24"/>
          <w:lang w:eastAsia="sk-SK"/>
        </w:rPr>
        <w:t>Sunt respectate cerințele specifice de eligibilitate aplicabile proiectului și solicitantului</w:t>
      </w:r>
      <w:r>
        <w:rPr>
          <w:b/>
          <w:iCs/>
          <w:color w:val="002060"/>
          <w:sz w:val="24"/>
          <w:lang w:eastAsia="sk-SK"/>
        </w:rPr>
        <w:t xml:space="preserve">, în condițiile și la termenele prevăzute </w:t>
      </w:r>
      <w:r>
        <w:rPr>
          <w:b/>
          <w:iCs/>
          <w:sz w:val="24"/>
          <w:lang w:eastAsia="sk-SK"/>
        </w:rPr>
        <w:t>în Ghidul Solicitantului, după cum urmează:</w:t>
      </w:r>
    </w:p>
    <w:p w14:paraId="6B9078B2" w14:textId="77777777" w:rsidR="003F4569" w:rsidRDefault="003F4569" w:rsidP="003F4569">
      <w:pPr>
        <w:pStyle w:val="bullet"/>
        <w:spacing w:after="0"/>
        <w:ind w:left="786"/>
        <w:rPr>
          <w:b/>
          <w:iCs/>
          <w:sz w:val="24"/>
          <w:lang w:eastAsia="sk-SK"/>
        </w:rPr>
      </w:pPr>
    </w:p>
    <w:p w14:paraId="20732ACB" w14:textId="77777777" w:rsidR="003F4569" w:rsidRDefault="003F4569" w:rsidP="003F4569">
      <w:pPr>
        <w:pStyle w:val="bullet"/>
        <w:numPr>
          <w:ilvl w:val="0"/>
          <w:numId w:val="0"/>
        </w:numPr>
        <w:tabs>
          <w:tab w:val="left" w:pos="720"/>
        </w:tabs>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 w:name="__Fieldmark__14449_1580758020"/>
      <w:bookmarkEnd w:id="1"/>
      <w:r>
        <w:rPr>
          <w:iCs/>
          <w:sz w:val="24"/>
          <w:lang w:eastAsia="sk-SK"/>
        </w:rPr>
        <w:t xml:space="preserve"> Cerința 1</w:t>
      </w:r>
    </w:p>
    <w:p w14:paraId="7D3D7766" w14:textId="77777777" w:rsidR="003F4569"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Pr>
          <w:rFonts w:asciiTheme="minorHAnsi" w:hAnsiTheme="minorHAnsi" w:cstheme="minorHAnsi"/>
          <w:b/>
          <w:bCs/>
          <w:snapToGrid w:val="0"/>
          <w:sz w:val="24"/>
        </w:rPr>
        <w:t>Forma de constituire a solicitantului:</w:t>
      </w:r>
    </w:p>
    <w:p w14:paraId="3A1A7319" w14:textId="77777777"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14:paraId="23BE676A" w14:textId="77777777"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14:paraId="5A922579" w14:textId="77777777" w:rsidR="002C6107" w:rsidRPr="00D01F49" w:rsidRDefault="00D01F49" w:rsidP="00D01F49">
      <w:pPr>
        <w:pStyle w:val="bullet"/>
        <w:numPr>
          <w:ilvl w:val="0"/>
          <w:numId w:val="17"/>
        </w:numPr>
        <w:tabs>
          <w:tab w:val="left" w:pos="720"/>
        </w:tabs>
        <w:spacing w:before="0" w:after="0"/>
        <w:rPr>
          <w:rFonts w:ascii="Calibri" w:hAnsi="Calibri" w:cs="Calibri"/>
          <w:sz w:val="24"/>
          <w:lang w:eastAsia="ro-RO"/>
        </w:rPr>
      </w:pPr>
      <w:r w:rsidRPr="00D01F49">
        <w:rPr>
          <w:rFonts w:asciiTheme="minorHAnsi" w:hAnsiTheme="minorHAnsi" w:cstheme="minorHAnsi"/>
          <w:bCs/>
          <w:snapToGrid w:val="0"/>
          <w:sz w:val="24"/>
        </w:rPr>
        <w:lastRenderedPageBreak/>
        <w:t>Forme asociative între unităţile administrativ-teritoriale  şi instituții ale administraţiei publice locale. Liderul asociaţiei va fi reprezentat de unitatea administrativ teritorială.</w:t>
      </w:r>
      <w:r w:rsidR="002C6107" w:rsidRPr="00D01F49">
        <w:rPr>
          <w:rFonts w:asciiTheme="minorHAnsi" w:hAnsiTheme="minorHAnsi" w:cstheme="minorHAnsi"/>
          <w:bCs/>
          <w:snapToGrid w:val="0"/>
          <w:sz w:val="24"/>
        </w:rPr>
        <w:t xml:space="preserve"> </w:t>
      </w:r>
    </w:p>
    <w:p w14:paraId="33B4763D" w14:textId="77777777" w:rsidR="003F4569" w:rsidRDefault="003F4569" w:rsidP="002C6107">
      <w:pPr>
        <w:pStyle w:val="bullet"/>
        <w:numPr>
          <w:ilvl w:val="0"/>
          <w:numId w:val="0"/>
        </w:numPr>
        <w:spacing w:after="0"/>
        <w:ind w:left="1710"/>
        <w:rPr>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7038AD1C" w14:textId="77777777" w:rsidR="00340B3A" w:rsidRPr="00340B3A" w:rsidRDefault="00340B3A" w:rsidP="00340B3A">
      <w:pPr>
        <w:pStyle w:val="bullet"/>
        <w:numPr>
          <w:ilvl w:val="0"/>
          <w:numId w:val="0"/>
        </w:numPr>
        <w:tabs>
          <w:tab w:val="left" w:pos="720"/>
        </w:tabs>
        <w:spacing w:before="0" w:after="0"/>
        <w:ind w:left="630"/>
        <w:rPr>
          <w:iCs/>
          <w:sz w:val="24"/>
          <w:lang w:eastAsia="sk-SK"/>
        </w:rPr>
      </w:pPr>
      <w:r w:rsidRPr="00340B3A">
        <w:rPr>
          <w:iCs/>
          <w:sz w:val="24"/>
          <w:lang w:eastAsia="sk-SK"/>
        </w:rPr>
        <w:fldChar w:fldCharType="begin">
          <w:ffData>
            <w:name w:val="Check2"/>
            <w:enabled/>
            <w:calcOnExit w:val="0"/>
            <w:checkBox>
              <w:sizeAuto/>
              <w:default w:val="0"/>
            </w:checkBox>
          </w:ffData>
        </w:fldChar>
      </w:r>
      <w:r w:rsidRPr="00340B3A">
        <w:rPr>
          <w:iCs/>
          <w:sz w:val="24"/>
          <w:lang w:eastAsia="sk-SK"/>
        </w:rPr>
        <w:instrText xml:space="preserve"> FORMCHECKBOX </w:instrText>
      </w:r>
      <w:r w:rsidR="00D8394A">
        <w:rPr>
          <w:iCs/>
          <w:sz w:val="24"/>
          <w:lang w:eastAsia="sk-SK"/>
        </w:rPr>
      </w:r>
      <w:r w:rsidR="00D8394A">
        <w:rPr>
          <w:iCs/>
          <w:sz w:val="24"/>
          <w:lang w:eastAsia="sk-SK"/>
        </w:rPr>
        <w:fldChar w:fldCharType="separate"/>
      </w:r>
      <w:r w:rsidRPr="00340B3A">
        <w:rPr>
          <w:iCs/>
          <w:sz w:val="24"/>
          <w:lang w:eastAsia="sk-SK"/>
        </w:rPr>
        <w:fldChar w:fldCharType="end"/>
      </w:r>
      <w:r w:rsidRPr="00340B3A">
        <w:rPr>
          <w:iCs/>
          <w:sz w:val="24"/>
          <w:lang w:eastAsia="sk-SK"/>
        </w:rPr>
        <w:t xml:space="preserve"> Cerinta 2. Drepturi asupra bunurilor imobile obiect al proiectului</w:t>
      </w:r>
    </w:p>
    <w:p w14:paraId="4955F0ED" w14:textId="77777777" w:rsidR="00340B3A" w:rsidRPr="00340B3A" w:rsidRDefault="00340B3A" w:rsidP="00340B3A">
      <w:pPr>
        <w:ind w:left="708"/>
        <w:rPr>
          <w:rFonts w:eastAsia="Times New Roman" w:cstheme="minorHAnsi"/>
          <w:b/>
          <w:sz w:val="24"/>
          <w:szCs w:val="24"/>
        </w:rPr>
      </w:pPr>
    </w:p>
    <w:p w14:paraId="0108815A" w14:textId="77777777" w:rsidR="00340B3A" w:rsidRPr="00340B3A" w:rsidRDefault="00340B3A" w:rsidP="00340B3A">
      <w:pPr>
        <w:ind w:left="708"/>
        <w:rPr>
          <w:rFonts w:eastAsia="Times New Roman" w:cstheme="minorHAnsi"/>
          <w:b/>
          <w:sz w:val="24"/>
          <w:szCs w:val="24"/>
        </w:rPr>
      </w:pPr>
      <w:r w:rsidRPr="00340B3A">
        <w:rPr>
          <w:rFonts w:eastAsia="Times New Roman" w:cstheme="minorHAnsi"/>
          <w:b/>
          <w:sz w:val="24"/>
          <w:szCs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3E571796" w14:textId="77777777" w:rsidR="00340B3A" w:rsidRDefault="00340B3A" w:rsidP="00340B3A">
      <w:pPr>
        <w:suppressAutoHyphens w:val="0"/>
        <w:spacing w:after="120" w:line="240" w:lineRule="auto"/>
        <w:jc w:val="both"/>
        <w:rPr>
          <w:rFonts w:ascii="Calibri" w:eastAsia="Times New Roman" w:hAnsi="Calibri" w:cs="Calibri"/>
          <w:sz w:val="24"/>
          <w:szCs w:val="24"/>
          <w:lang w:eastAsia="ro-RO"/>
        </w:rPr>
      </w:pPr>
    </w:p>
    <w:p w14:paraId="2E30B0AF" w14:textId="77777777" w:rsidR="00340B3A" w:rsidRPr="00340B3A" w:rsidRDefault="00340B3A" w:rsidP="00340B3A">
      <w:pPr>
        <w:pStyle w:val="bullet"/>
        <w:numPr>
          <w:ilvl w:val="0"/>
          <w:numId w:val="0"/>
        </w:numPr>
        <w:tabs>
          <w:tab w:val="left" w:pos="720"/>
        </w:tabs>
        <w:spacing w:before="0" w:after="0"/>
        <w:ind w:left="630"/>
        <w:rPr>
          <w:iCs/>
          <w:sz w:val="24"/>
          <w:lang w:eastAsia="sk-SK"/>
        </w:rPr>
      </w:pPr>
      <w:r w:rsidRPr="00340B3A">
        <w:rPr>
          <w:iCs/>
          <w:sz w:val="24"/>
          <w:lang w:eastAsia="sk-SK"/>
        </w:rPr>
        <w:fldChar w:fldCharType="begin">
          <w:ffData>
            <w:name w:val="Check2"/>
            <w:enabled/>
            <w:calcOnExit w:val="0"/>
            <w:checkBox>
              <w:sizeAuto/>
              <w:default w:val="0"/>
            </w:checkBox>
          </w:ffData>
        </w:fldChar>
      </w:r>
      <w:r w:rsidRPr="00340B3A">
        <w:rPr>
          <w:iCs/>
          <w:sz w:val="24"/>
          <w:lang w:eastAsia="sk-SK"/>
        </w:rPr>
        <w:instrText xml:space="preserve"> FORMCHECKBOX </w:instrText>
      </w:r>
      <w:r w:rsidR="00D8394A">
        <w:rPr>
          <w:iCs/>
          <w:sz w:val="24"/>
          <w:lang w:eastAsia="sk-SK"/>
        </w:rPr>
      </w:r>
      <w:r w:rsidR="00D8394A">
        <w:rPr>
          <w:iCs/>
          <w:sz w:val="24"/>
          <w:lang w:eastAsia="sk-SK"/>
        </w:rPr>
        <w:fldChar w:fldCharType="separate"/>
      </w:r>
      <w:r w:rsidRPr="00340B3A">
        <w:rPr>
          <w:iCs/>
          <w:sz w:val="24"/>
          <w:lang w:eastAsia="sk-SK"/>
        </w:rPr>
        <w:fldChar w:fldCharType="end"/>
      </w:r>
      <w:r w:rsidRPr="00340B3A">
        <w:rPr>
          <w:iCs/>
          <w:sz w:val="24"/>
          <w:lang w:eastAsia="sk-SK"/>
        </w:rPr>
        <w:t> Cerinta 3. Sarcini asupra bunurilor imobile obiect al proiectului</w:t>
      </w:r>
    </w:p>
    <w:p w14:paraId="1CF6EAB0" w14:textId="77777777" w:rsidR="00340B3A" w:rsidRDefault="00340B3A" w:rsidP="00340B3A">
      <w:pPr>
        <w:pStyle w:val="bullet"/>
        <w:numPr>
          <w:ilvl w:val="0"/>
          <w:numId w:val="0"/>
        </w:numPr>
        <w:tabs>
          <w:tab w:val="left" w:pos="720"/>
        </w:tabs>
        <w:spacing w:before="0" w:after="0"/>
        <w:ind w:left="630"/>
        <w:rPr>
          <w:rFonts w:ascii="Calibri" w:hAnsi="Calibri" w:cs="Calibri"/>
          <w:b/>
          <w:bCs/>
          <w:sz w:val="24"/>
          <w:u w:val="single"/>
          <w:lang w:eastAsia="sk-SK"/>
        </w:rPr>
      </w:pPr>
    </w:p>
    <w:p w14:paraId="479635DB" w14:textId="77777777" w:rsidR="00340B3A" w:rsidRPr="00340B3A" w:rsidRDefault="00340B3A" w:rsidP="00340B3A">
      <w:pPr>
        <w:ind w:left="708"/>
        <w:rPr>
          <w:rFonts w:eastAsia="Times New Roman" w:cstheme="minorHAnsi"/>
          <w:b/>
          <w:sz w:val="24"/>
          <w:szCs w:val="24"/>
        </w:rPr>
      </w:pPr>
      <w:r w:rsidRPr="00340B3A">
        <w:rPr>
          <w:rFonts w:eastAsia="Times New Roman" w:cstheme="minorHAnsi"/>
          <w:b/>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689CFD2E" w14:textId="77777777" w:rsidR="00340B3A" w:rsidRPr="00340B3A" w:rsidRDefault="00340B3A" w:rsidP="00340B3A">
      <w:pPr>
        <w:ind w:left="708"/>
        <w:rPr>
          <w:rFonts w:eastAsia="Times New Roman" w:cstheme="minorHAnsi"/>
          <w:b/>
          <w:sz w:val="24"/>
          <w:szCs w:val="24"/>
        </w:rPr>
      </w:pPr>
      <w:r w:rsidRPr="00340B3A">
        <w:rPr>
          <w:rFonts w:eastAsia="Times New Roman" w:cstheme="minorHAnsi"/>
          <w:b/>
          <w:sz w:val="24"/>
          <w:szCs w:val="24"/>
        </w:rPr>
        <w:t>a) sunt libere de orice sarcini sau interdicţii incompatibile cu realizarea activităţilor proiectului;</w:t>
      </w:r>
    </w:p>
    <w:p w14:paraId="69A9B9C1" w14:textId="77777777" w:rsidR="00340B3A" w:rsidRPr="00340B3A" w:rsidRDefault="00340B3A" w:rsidP="00340B3A">
      <w:pPr>
        <w:ind w:left="708"/>
        <w:rPr>
          <w:rFonts w:eastAsia="Times New Roman" w:cstheme="minorHAnsi"/>
          <w:b/>
          <w:sz w:val="24"/>
          <w:szCs w:val="24"/>
        </w:rPr>
      </w:pPr>
      <w:r w:rsidRPr="00340B3A">
        <w:rPr>
          <w:rFonts w:eastAsia="Times New Roman" w:cstheme="minorHAnsi"/>
          <w:b/>
          <w:sz w:val="24"/>
          <w:szCs w:val="24"/>
        </w:rPr>
        <w:t>b) nu fac obiectul unor garanţii, cesionări şi nici a unei alte forme de sarcini care ar putea afecta dreptul invocat;</w:t>
      </w:r>
    </w:p>
    <w:p w14:paraId="2F481E78" w14:textId="77777777" w:rsidR="00340B3A" w:rsidRPr="00340B3A" w:rsidRDefault="00340B3A" w:rsidP="00340B3A">
      <w:pPr>
        <w:ind w:left="708"/>
        <w:rPr>
          <w:rFonts w:eastAsia="Times New Roman" w:cstheme="minorHAnsi"/>
          <w:b/>
          <w:sz w:val="24"/>
          <w:szCs w:val="24"/>
        </w:rPr>
      </w:pPr>
      <w:r w:rsidRPr="00340B3A">
        <w:rPr>
          <w:rFonts w:eastAsia="Times New Roman" w:cstheme="minorHAnsi"/>
          <w:b/>
          <w:sz w:val="24"/>
          <w:szCs w:val="24"/>
        </w:rPr>
        <w:t>c) nu fac obiectul unor litigii având ca obiect dreptul invocat de către solicitant pentru realizarea proiectului, aflate în curs de soluţionare la instanţele judecătoreşti;</w:t>
      </w:r>
    </w:p>
    <w:p w14:paraId="7CC5B702" w14:textId="77777777" w:rsidR="00340B3A" w:rsidRPr="00340B3A" w:rsidRDefault="00340B3A" w:rsidP="00340B3A">
      <w:pPr>
        <w:ind w:left="708"/>
        <w:rPr>
          <w:rFonts w:eastAsia="Times New Roman" w:cstheme="minorHAnsi"/>
          <w:b/>
          <w:sz w:val="24"/>
          <w:szCs w:val="24"/>
        </w:rPr>
      </w:pPr>
      <w:r w:rsidRPr="00340B3A">
        <w:rPr>
          <w:rFonts w:eastAsia="Times New Roman" w:cstheme="minorHAnsi"/>
          <w:b/>
          <w:sz w:val="24"/>
          <w:szCs w:val="24"/>
        </w:rPr>
        <w:t>d) nu fac obiectul revendicărilor potrivit unor legi speciale în materie sau dreptului comun</w:t>
      </w:r>
    </w:p>
    <w:p w14:paraId="71AE821A" w14:textId="77777777" w:rsidR="00B90933" w:rsidRDefault="00B90933" w:rsidP="006551DC">
      <w:pPr>
        <w:pStyle w:val="bullet"/>
        <w:numPr>
          <w:ilvl w:val="0"/>
          <w:numId w:val="0"/>
        </w:numPr>
        <w:spacing w:after="0"/>
        <w:ind w:left="1440"/>
        <w:rPr>
          <w:sz w:val="24"/>
        </w:rPr>
      </w:pPr>
    </w:p>
    <w:p w14:paraId="4EC21994" w14:textId="77777777" w:rsidR="003F4569" w:rsidRDefault="003F4569" w:rsidP="006551DC">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 xml:space="preserve">4 </w:t>
      </w:r>
    </w:p>
    <w:p w14:paraId="075C1F9B" w14:textId="77777777" w:rsidR="003F4569" w:rsidRDefault="00B90933" w:rsidP="003F4569">
      <w:pPr>
        <w:ind w:left="708"/>
        <w:rPr>
          <w:rFonts w:eastAsia="SimSun" w:cstheme="minorHAnsi"/>
          <w:b/>
          <w:sz w:val="24"/>
          <w:lang w:val="en-US"/>
        </w:rPr>
      </w:pPr>
      <w:r w:rsidRPr="00B90933">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743532CE"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5</w:t>
      </w:r>
    </w:p>
    <w:p w14:paraId="37EAFD33" w14:textId="77777777" w:rsidR="003F4569" w:rsidRDefault="00B90933" w:rsidP="003F4569">
      <w:pPr>
        <w:ind w:left="708"/>
        <w:rPr>
          <w:i/>
          <w:iCs/>
          <w:sz w:val="24"/>
          <w:lang w:eastAsia="sk-SK"/>
        </w:rPr>
      </w:pPr>
      <w:r w:rsidRPr="00B90933">
        <w:rPr>
          <w:rFonts w:eastAsia="SimSun" w:cstheme="minorHAnsi"/>
          <w:b/>
          <w:sz w:val="24"/>
          <w:szCs w:val="24"/>
          <w:lang w:eastAsia="ro-RO"/>
        </w:rPr>
        <w:lastRenderedPageBreak/>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D006AD0"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6</w:t>
      </w:r>
    </w:p>
    <w:p w14:paraId="240E8CE0" w14:textId="77777777" w:rsidR="003F4569"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FD4B55">
        <w:rPr>
          <w:rFonts w:asciiTheme="minorHAnsi" w:eastAsia="Calibri" w:hAnsiTheme="minorHAnsi" w:cstheme="minorHAnsi"/>
          <w:b/>
          <w:sz w:val="24"/>
        </w:rPr>
        <w:t>Ȋncadrarea valorii proiectului în limitele valorilor minime și maxime eligibile</w:t>
      </w:r>
    </w:p>
    <w:p w14:paraId="5D3F22A6" w14:textId="77777777" w:rsidR="00FD4B55" w:rsidRPr="00FD4B55" w:rsidRDefault="00FD4B55" w:rsidP="00FD4B55">
      <w:pPr>
        <w:rPr>
          <w:rFonts w:eastAsia="SimSun" w:cstheme="minorHAnsi"/>
          <w:sz w:val="24"/>
          <w:szCs w:val="24"/>
          <w:lang w:eastAsia="ro-RO"/>
        </w:rPr>
      </w:pPr>
      <w:r>
        <w:rPr>
          <w:rFonts w:cstheme="minorHAnsi"/>
          <w:b/>
          <w:sz w:val="24"/>
        </w:rPr>
        <w:t xml:space="preserve">   </w:t>
      </w:r>
      <w:r w:rsidRPr="00FD4B55">
        <w:rPr>
          <w:rFonts w:eastAsia="SimSun" w:cstheme="minorHAnsi"/>
          <w:sz w:val="24"/>
          <w:szCs w:val="24"/>
          <w:lang w:eastAsia="ro-RO"/>
        </w:rPr>
        <w:t>Valoarea totală eligibilă a cererii de finanţare se încadrează în următoarele limite minime și maxime:</w:t>
      </w:r>
    </w:p>
    <w:p w14:paraId="5A2119C3" w14:textId="77777777" w:rsidR="00FD4B55" w:rsidRPr="00FD4B55" w:rsidRDefault="00FD4B55" w:rsidP="00FD4B55">
      <w:pPr>
        <w:suppressAutoHyphens w:val="0"/>
        <w:spacing w:after="0" w:line="240" w:lineRule="auto"/>
        <w:jc w:val="both"/>
        <w:rPr>
          <w:rFonts w:eastAsia="SimSun" w:cstheme="minorHAnsi"/>
          <w:sz w:val="24"/>
          <w:szCs w:val="24"/>
          <w:lang w:eastAsia="ro-RO"/>
        </w:rPr>
      </w:pPr>
      <w:r w:rsidRPr="00FD4B55">
        <w:rPr>
          <w:rFonts w:eastAsia="SimSun" w:cstheme="minorHAnsi"/>
          <w:sz w:val="24"/>
          <w:szCs w:val="24"/>
          <w:lang w:eastAsia="ro-RO"/>
        </w:rPr>
        <w:t>Valoarea minimă eligibilă:  150.000 euro (la invatamant obligatoiu 100.000 euro)</w:t>
      </w:r>
    </w:p>
    <w:p w14:paraId="42E6376A" w14:textId="77777777" w:rsidR="00FD4B55" w:rsidRPr="00FD4B55" w:rsidRDefault="00FD4B55" w:rsidP="00FD4B55">
      <w:pPr>
        <w:suppressAutoHyphens w:val="0"/>
        <w:spacing w:after="0" w:line="240" w:lineRule="auto"/>
        <w:jc w:val="both"/>
        <w:rPr>
          <w:rFonts w:eastAsia="Times New Roman" w:cstheme="minorHAnsi"/>
          <w:sz w:val="24"/>
          <w:szCs w:val="24"/>
          <w:lang w:eastAsia="ro-RO"/>
        </w:rPr>
      </w:pPr>
      <w:r w:rsidRPr="00FD4B55">
        <w:rPr>
          <w:rFonts w:eastAsia="Times New Roman" w:cstheme="minorHAnsi"/>
          <w:sz w:val="24"/>
          <w:szCs w:val="24"/>
          <w:lang w:eastAsia="ro-RO"/>
        </w:rPr>
        <w:t>La stabilirea valorii maxime eligibile a proiectului se va avea în vedere încadrarea în paritatea 7700 euro per participant direct la procesul educaţional, respectiv copii încadraţi în unitatea de infrastructură educaţională subiect al cererii de finanţare, calculată la cursul infoeuro din luna  publicarii ghidului solicitantului.</w:t>
      </w:r>
    </w:p>
    <w:p w14:paraId="14E8B4BA" w14:textId="77777777" w:rsidR="00FD4B55" w:rsidRDefault="00FD4B55" w:rsidP="003F4569">
      <w:pPr>
        <w:pStyle w:val="bullet"/>
        <w:numPr>
          <w:ilvl w:val="0"/>
          <w:numId w:val="0"/>
        </w:numPr>
        <w:tabs>
          <w:tab w:val="left" w:pos="720"/>
        </w:tabs>
        <w:spacing w:before="0" w:after="0"/>
        <w:ind w:left="720"/>
        <w:rPr>
          <w:rFonts w:asciiTheme="minorHAnsi" w:hAnsiTheme="minorHAnsi" w:cstheme="minorHAnsi"/>
          <w:b/>
          <w:sz w:val="24"/>
        </w:rPr>
      </w:pPr>
    </w:p>
    <w:p w14:paraId="3E6A0788"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7</w:t>
      </w:r>
    </w:p>
    <w:p w14:paraId="04AFBC95" w14:textId="77777777" w:rsidR="003F4569"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201895">
        <w:rPr>
          <w:rFonts w:asciiTheme="minorHAnsi" w:hAnsiTheme="minorHAnsi" w:cstheme="minorHAnsi"/>
          <w:b/>
          <w:bCs/>
          <w:snapToGrid w:val="0"/>
          <w:sz w:val="24"/>
        </w:rPr>
        <w:t>Perioada de implementare a activităților proiectului nu depășește 31.12.2029</w:t>
      </w:r>
    </w:p>
    <w:p w14:paraId="64E2613D" w14:textId="77777777" w:rsidR="00201895"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5BB95B71"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8</w:t>
      </w:r>
    </w:p>
    <w:p w14:paraId="70F5E8AC" w14:textId="77777777" w:rsidR="00B411C2" w:rsidRPr="004645BA" w:rsidRDefault="004645BA" w:rsidP="003F4569">
      <w:pPr>
        <w:pStyle w:val="bullet"/>
        <w:numPr>
          <w:ilvl w:val="0"/>
          <w:numId w:val="0"/>
        </w:numPr>
        <w:tabs>
          <w:tab w:val="left" w:pos="720"/>
        </w:tabs>
        <w:spacing w:before="0" w:after="0"/>
        <w:ind w:left="720"/>
        <w:rPr>
          <w:b/>
          <w:iCs/>
          <w:sz w:val="24"/>
          <w:lang w:eastAsia="sk-SK"/>
        </w:rPr>
      </w:pPr>
      <w:r>
        <w:rPr>
          <w:iCs/>
          <w:sz w:val="24"/>
          <w:lang w:eastAsia="sk-SK"/>
        </w:rPr>
        <w:t xml:space="preserve"> </w:t>
      </w:r>
      <w:r w:rsidRPr="004645BA">
        <w:rPr>
          <w:rFonts w:cs="Times New Roman"/>
          <w:b/>
          <w:snapToGrid w:val="0"/>
          <w:sz w:val="22"/>
          <w:szCs w:val="22"/>
          <w:lang w:eastAsia="ro-RO"/>
        </w:rPr>
        <w:t xml:space="preserve">Proiectul respectă principiile privind dezvoltarea durabilă, </w:t>
      </w:r>
      <w:r w:rsidRPr="004645BA">
        <w:rPr>
          <w:rFonts w:ascii="Calibri" w:hAnsi="Calibri" w:cs="Calibri"/>
          <w:b/>
          <w:snapToGrid w:val="0"/>
          <w:sz w:val="24"/>
          <w:lang w:eastAsia="ro-RO"/>
        </w:rPr>
        <w:t xml:space="preserve">accesibilitatea pentru persoanele cu dizabilități, </w:t>
      </w:r>
      <w:r w:rsidRPr="004645BA">
        <w:rPr>
          <w:rFonts w:cs="Times New Roman"/>
          <w:b/>
          <w:snapToGrid w:val="0"/>
          <w:sz w:val="22"/>
          <w:szCs w:val="22"/>
          <w:lang w:eastAsia="ro-RO"/>
        </w:rPr>
        <w:t>egalitatea de şanse, egalitatea de gen, şi nediscriminarea</w:t>
      </w:r>
    </w:p>
    <w:p w14:paraId="24EBFA88" w14:textId="77777777" w:rsidR="004645BA" w:rsidRPr="004645BA" w:rsidRDefault="004645BA" w:rsidP="003F4569">
      <w:pPr>
        <w:pStyle w:val="bullet"/>
        <w:numPr>
          <w:ilvl w:val="0"/>
          <w:numId w:val="0"/>
        </w:numPr>
        <w:tabs>
          <w:tab w:val="left" w:pos="720"/>
        </w:tabs>
        <w:spacing w:before="0" w:after="0"/>
        <w:ind w:left="720"/>
        <w:rPr>
          <w:iCs/>
          <w:sz w:val="24"/>
          <w:lang w:eastAsia="sk-SK"/>
        </w:rPr>
      </w:pPr>
    </w:p>
    <w:p w14:paraId="0BF70A8D"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9</w:t>
      </w:r>
    </w:p>
    <w:p w14:paraId="1F5C8037" w14:textId="77777777" w:rsidR="003F4569"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892CE9">
        <w:rPr>
          <w:rFonts w:asciiTheme="minorHAnsi" w:hAnsiTheme="minorHAnsi" w:cstheme="minorHAnsi"/>
          <w:b/>
          <w:sz w:val="24"/>
        </w:rPr>
        <w:t>Proiectul respectă principiul DNSH.</w:t>
      </w:r>
    </w:p>
    <w:p w14:paraId="3AAF9247" w14:textId="77777777" w:rsidR="003F4569" w:rsidRDefault="003F4569" w:rsidP="003F4569">
      <w:pPr>
        <w:pStyle w:val="bullet"/>
        <w:numPr>
          <w:ilvl w:val="0"/>
          <w:numId w:val="0"/>
        </w:numPr>
        <w:tabs>
          <w:tab w:val="left" w:pos="720"/>
        </w:tabs>
        <w:spacing w:before="0" w:after="0"/>
        <w:ind w:left="720"/>
        <w:rPr>
          <w:iCs/>
          <w:sz w:val="24"/>
          <w:lang w:eastAsia="sk-SK"/>
        </w:rPr>
      </w:pPr>
    </w:p>
    <w:p w14:paraId="7C8B6E87"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10</w:t>
      </w:r>
    </w:p>
    <w:p w14:paraId="0C1C2EDA" w14:textId="77777777" w:rsidR="000A339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892CE9">
        <w:rPr>
          <w:rFonts w:asciiTheme="minorHAnsi" w:hAnsiTheme="minorHAnsi" w:cstheme="minorHAnsi"/>
          <w:b/>
          <w:bCs/>
          <w:snapToGrid w:val="0"/>
          <w:sz w:val="24"/>
        </w:rPr>
        <w:t>Proiectul asigură imunizarea la schimbările climatice</w:t>
      </w:r>
    </w:p>
    <w:p w14:paraId="303E13C6" w14:textId="77777777" w:rsidR="00892CE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58895DB5"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iCs/>
          <w:sz w:val="24"/>
          <w:lang w:eastAsia="sk-SK"/>
        </w:rPr>
        <w:t xml:space="preserve"> Cerința </w:t>
      </w:r>
      <w:r>
        <w:rPr>
          <w:i/>
          <w:iCs/>
          <w:sz w:val="24"/>
          <w:lang w:eastAsia="sk-SK"/>
        </w:rPr>
        <w:t>11</w:t>
      </w:r>
    </w:p>
    <w:p w14:paraId="28DCCD3C" w14:textId="77777777" w:rsidR="00B47091"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330F27">
        <w:rPr>
          <w:rFonts w:asciiTheme="minorHAnsi" w:hAnsiTheme="minorHAnsi" w:cstheme="minorHAnsi"/>
          <w:b/>
          <w:sz w:val="24"/>
        </w:rPr>
        <w:t>Activitățile proiectului se implementează in regiunea de dezvoltare Sud-Vest Oltenia</w:t>
      </w:r>
    </w:p>
    <w:p w14:paraId="39BA4087" w14:textId="77777777" w:rsidR="0077728D" w:rsidRDefault="00595402" w:rsidP="00330F27">
      <w:pPr>
        <w:pStyle w:val="bullet"/>
        <w:numPr>
          <w:ilvl w:val="0"/>
          <w:numId w:val="0"/>
        </w:numPr>
        <w:tabs>
          <w:tab w:val="left" w:pos="720"/>
        </w:tabs>
        <w:spacing w:before="0" w:after="0"/>
        <w:ind w:left="720"/>
        <w:rPr>
          <w:rFonts w:cstheme="minorHAnsi"/>
          <w:b/>
          <w:bCs/>
          <w:snapToGrid w:val="0"/>
          <w:sz w:val="24"/>
        </w:rPr>
      </w:pPr>
      <w:r w:rsidRPr="0077728D">
        <w:rPr>
          <w:rFonts w:asciiTheme="minorHAnsi" w:hAnsiTheme="minorHAnsi" w:cstheme="minorHAnsi"/>
          <w:iCs/>
          <w:sz w:val="24"/>
          <w:lang w:eastAsia="sk-SK"/>
        </w:rPr>
        <w:t xml:space="preserve">   </w:t>
      </w:r>
    </w:p>
    <w:p w14:paraId="394A4AB1" w14:textId="77777777" w:rsidR="00515DE0" w:rsidRDefault="00515DE0" w:rsidP="00515DE0">
      <w:pPr>
        <w:tabs>
          <w:tab w:val="left" w:pos="720"/>
        </w:tabs>
        <w:spacing w:after="0" w:line="240" w:lineRule="auto"/>
        <w:ind w:left="720"/>
        <w:jc w:val="both"/>
        <w:rPr>
          <w:rFonts w:ascii="Calibri" w:eastAsia="Times New Roman" w:hAnsi="Calibri" w:cs="Calibri"/>
          <w:b/>
          <w:sz w:val="24"/>
          <w:szCs w:val="24"/>
          <w:lang w:eastAsia="ro-RO"/>
        </w:rPr>
      </w:pPr>
    </w:p>
    <w:p w14:paraId="7220455C" w14:textId="77777777" w:rsidR="003F4569" w:rsidRDefault="003F4569" w:rsidP="003F4569">
      <w:pPr>
        <w:pStyle w:val="ListParagraph"/>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Organizația</w:t>
      </w:r>
      <w:r>
        <w:rPr>
          <w:rFonts w:ascii="Trebuchet MS" w:hAnsi="Trebuchet MS" w:cs="Times New Roman"/>
          <w:b/>
          <w:bCs/>
          <w:iCs/>
          <w:color w:val="00B050"/>
          <w:sz w:val="24"/>
          <w:szCs w:val="24"/>
        </w:rPr>
        <w:t>/</w:t>
      </w:r>
      <w:r>
        <w:rPr>
          <w:rFonts w:ascii="Trebuchet MS" w:hAnsi="Trebuchet MS" w:cs="Times New Roman"/>
          <w:b/>
          <w:bCs/>
          <w:iCs/>
          <w:color w:val="C00000"/>
          <w:sz w:val="24"/>
          <w:szCs w:val="24"/>
        </w:rPr>
        <w:t xml:space="preserve">reprezentantulul  </w:t>
      </w:r>
      <w:r>
        <w:rPr>
          <w:rFonts w:ascii="Trebuchet MS" w:hAnsi="Trebuchet MS" w:cs="Times New Roman"/>
          <w:b/>
          <w:bCs/>
          <w:iCs/>
          <w:sz w:val="24"/>
          <w:szCs w:val="24"/>
        </w:rPr>
        <w:t>nu se află în niciuna din situațiile de excludere prevăzute de legislația aplicabilă, respectiv Ghidul Solicitantului:</w:t>
      </w:r>
    </w:p>
    <w:p w14:paraId="5B11CB30" w14:textId="77777777" w:rsidR="003F4569" w:rsidRDefault="003F4569" w:rsidP="003F4569">
      <w:pPr>
        <w:pStyle w:val="ListParagraph"/>
        <w:spacing w:after="0" w:line="240" w:lineRule="auto"/>
        <w:ind w:left="786"/>
        <w:jc w:val="both"/>
        <w:rPr>
          <w:rFonts w:ascii="Trebuchet MS" w:hAnsi="Trebuchet MS" w:cs="Times New Roman"/>
          <w:b/>
          <w:bCs/>
          <w:iCs/>
          <w:sz w:val="24"/>
          <w:szCs w:val="24"/>
        </w:rPr>
      </w:pPr>
    </w:p>
    <w:p w14:paraId="54ACD883" w14:textId="77777777" w:rsidR="003F4569" w:rsidRDefault="003F4569" w:rsidP="003F4569">
      <w:pPr>
        <w:pStyle w:val="ListParagraph"/>
        <w:spacing w:after="0" w:line="240" w:lineRule="auto"/>
        <w:ind w:left="786"/>
        <w:jc w:val="both"/>
        <w:rPr>
          <w:rFonts w:ascii="Trebuchet MS" w:hAnsi="Trebuchet MS" w:cs="Times New Roman"/>
          <w:b/>
          <w:bCs/>
          <w:iCs/>
          <w:sz w:val="24"/>
          <w:szCs w:val="24"/>
        </w:rPr>
      </w:pPr>
      <w:r>
        <w:rPr>
          <w:rFonts w:ascii="Trebuchet MS" w:hAnsi="Trebuchet MS" w:cs="Times New Roman"/>
          <w:b/>
          <w:bCs/>
          <w:iCs/>
          <w:sz w:val="24"/>
          <w:szCs w:val="24"/>
          <w:u w:val="single"/>
        </w:rPr>
        <w:t>Solicitantul, inclusiv partenerul nu se află în următoarele situații începând cu data depunerii cererii de finanțare, pe perioada de evaluare, selecție și contractare</w:t>
      </w:r>
      <w:r>
        <w:rPr>
          <w:rFonts w:ascii="Trebuchet MS" w:hAnsi="Trebuchet MS" w:cs="Times New Roman"/>
          <w:b/>
          <w:bCs/>
          <w:iCs/>
          <w:sz w:val="24"/>
          <w:szCs w:val="24"/>
        </w:rPr>
        <w:t>:</w:t>
      </w:r>
    </w:p>
    <w:p w14:paraId="05FAFEE6" w14:textId="77777777" w:rsidR="003F4569" w:rsidRDefault="003F4569" w:rsidP="003F4569">
      <w:pPr>
        <w:pStyle w:val="ListParagraph"/>
        <w:spacing w:after="0" w:line="240" w:lineRule="auto"/>
        <w:ind w:left="786"/>
        <w:jc w:val="both"/>
        <w:rPr>
          <w:rFonts w:ascii="Trebuchet MS" w:hAnsi="Trebuchet MS" w:cs="Times New Roman"/>
          <w:b/>
          <w:bCs/>
          <w:iCs/>
          <w:sz w:val="24"/>
          <w:szCs w:val="24"/>
        </w:rPr>
      </w:pPr>
    </w:p>
    <w:p w14:paraId="091160D9" w14:textId="77777777" w:rsidR="003F4569" w:rsidRDefault="003F4569" w:rsidP="003F4569">
      <w:pPr>
        <w:pStyle w:val="bullet"/>
        <w:numPr>
          <w:ilvl w:val="0"/>
          <w:numId w:val="0"/>
        </w:numPr>
        <w:tabs>
          <w:tab w:val="left" w:pos="720"/>
        </w:tabs>
        <w:spacing w:before="0" w:after="0"/>
        <w:ind w:left="360"/>
        <w:rPr>
          <w:iCs/>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D8394A">
        <w:rPr>
          <w:sz w:val="24"/>
        </w:rPr>
      </w:r>
      <w:r w:rsidR="00D8394A">
        <w:rPr>
          <w:sz w:val="24"/>
        </w:rPr>
        <w:fldChar w:fldCharType="separate"/>
      </w:r>
      <w:r>
        <w:rPr>
          <w:sz w:val="24"/>
        </w:rPr>
        <w:fldChar w:fldCharType="end"/>
      </w:r>
      <w:r>
        <w:rPr>
          <w:iCs/>
          <w:sz w:val="24"/>
          <w:lang w:eastAsia="sk-SK"/>
        </w:rPr>
        <w:t xml:space="preserve"> Cerința 1. </w:t>
      </w:r>
    </w:p>
    <w:p w14:paraId="7ABD2D82"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 xml:space="preserve">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w:t>
      </w:r>
      <w:r w:rsidRPr="00515DE0">
        <w:rPr>
          <w:rFonts w:asciiTheme="minorHAnsi" w:hAnsiTheme="minorHAnsi" w:cstheme="minorHAnsi"/>
          <w:b/>
          <w:iCs/>
          <w:sz w:val="24"/>
          <w:lang w:eastAsia="sk-SK"/>
        </w:rPr>
        <w:lastRenderedPageBreak/>
        <w:t>acestor situaţii sau se află în situaţii similare în urma unei proceduri de aceeaşi natură prevăzute de legislaţia sau de reglementările naţionale]</w:t>
      </w:r>
    </w:p>
    <w:p w14:paraId="4687DBC6" w14:textId="77777777" w:rsidR="003F4569" w:rsidRDefault="003F4569" w:rsidP="003F4569">
      <w:pPr>
        <w:pStyle w:val="bullet"/>
        <w:numPr>
          <w:ilvl w:val="0"/>
          <w:numId w:val="0"/>
        </w:numPr>
        <w:tabs>
          <w:tab w:val="left" w:pos="720"/>
        </w:tabs>
        <w:spacing w:before="0" w:after="0"/>
        <w:ind w:left="360"/>
        <w:rPr>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D8394A">
        <w:rPr>
          <w:sz w:val="24"/>
        </w:rPr>
      </w:r>
      <w:r w:rsidR="00D8394A">
        <w:rPr>
          <w:sz w:val="24"/>
        </w:rPr>
        <w:fldChar w:fldCharType="separate"/>
      </w:r>
      <w:r>
        <w:rPr>
          <w:sz w:val="24"/>
        </w:rPr>
        <w:fldChar w:fldCharType="end"/>
      </w:r>
      <w:r>
        <w:rPr>
          <w:iCs/>
          <w:sz w:val="24"/>
          <w:lang w:eastAsia="sk-SK"/>
        </w:rPr>
        <w:t xml:space="preserve"> Cerința 2. </w:t>
      </w:r>
      <w:r>
        <w:rPr>
          <w:sz w:val="24"/>
          <w:lang w:eastAsia="sk-SK"/>
        </w:rPr>
        <w:t xml:space="preserve"> </w:t>
      </w:r>
    </w:p>
    <w:p w14:paraId="65070508"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facă obiectul unei proceduri legale pentru declararea sa într-una din situațiile de la cerinta 1</w:t>
      </w:r>
    </w:p>
    <w:p w14:paraId="5958F665" w14:textId="77777777" w:rsidR="003F4569" w:rsidRDefault="003F4569" w:rsidP="003F4569">
      <w:pPr>
        <w:rPr>
          <w:rFonts w:ascii="Trebuchet MS" w:hAnsi="Trebuchet MS"/>
          <w:iCs/>
          <w:sz w:val="24"/>
          <w:szCs w:val="24"/>
          <w:lang w:eastAsia="sk-SK"/>
        </w:rPr>
      </w:pPr>
      <w:r>
        <w:rPr>
          <w:rFonts w:ascii="Trebuchet MS" w:hAnsi="Trebuchet MS"/>
          <w:sz w:val="24"/>
          <w:szCs w:val="24"/>
        </w:rPr>
        <w:t xml:space="preserve">     </w:t>
      </w:r>
      <w:r>
        <w:rPr>
          <w:rFonts w:ascii="Trebuchet MS" w:hAnsi="Trebuchet MS"/>
          <w:sz w:val="24"/>
          <w:szCs w:val="24"/>
        </w:rPr>
        <w:fldChar w:fldCharType="begin">
          <w:ffData>
            <w:name w:val=""/>
            <w:enabled/>
            <w:calcOnExit w:val="0"/>
            <w:checkBox>
              <w:sizeAuto/>
              <w:default w:val="0"/>
            </w:checkBox>
          </w:ffData>
        </w:fldChar>
      </w:r>
      <w:r>
        <w:rPr>
          <w:rFonts w:ascii="Trebuchet MS" w:hAnsi="Trebuchet MS"/>
          <w:sz w:val="24"/>
          <w:szCs w:val="24"/>
        </w:rPr>
        <w:instrText xml:space="preserve"> FORMCHECKBOX </w:instrText>
      </w:r>
      <w:r w:rsidR="00D8394A">
        <w:rPr>
          <w:rFonts w:ascii="Trebuchet MS" w:hAnsi="Trebuchet MS"/>
          <w:sz w:val="24"/>
          <w:szCs w:val="24"/>
        </w:rPr>
      </w:r>
      <w:r w:rsidR="00D8394A">
        <w:rPr>
          <w:rFonts w:ascii="Trebuchet MS" w:hAnsi="Trebuchet MS"/>
          <w:sz w:val="24"/>
          <w:szCs w:val="24"/>
        </w:rPr>
        <w:fldChar w:fldCharType="separate"/>
      </w:r>
      <w:r>
        <w:rPr>
          <w:rFonts w:ascii="Trebuchet MS" w:hAnsi="Trebuchet MS"/>
          <w:sz w:val="24"/>
          <w:szCs w:val="24"/>
        </w:rPr>
        <w:fldChar w:fldCharType="end"/>
      </w:r>
      <w:r>
        <w:rPr>
          <w:rFonts w:ascii="Trebuchet MS" w:hAnsi="Trebuchet MS"/>
          <w:iCs/>
          <w:sz w:val="24"/>
          <w:szCs w:val="24"/>
          <w:lang w:eastAsia="sk-SK"/>
        </w:rPr>
        <w:t xml:space="preserve"> Cerința 3</w:t>
      </w:r>
    </w:p>
    <w:p w14:paraId="44F16F83" w14:textId="77777777" w:rsidR="003F4569" w:rsidRPr="00515DE0" w:rsidRDefault="003F4569" w:rsidP="003F4569">
      <w:pPr>
        <w:rPr>
          <w:rFonts w:eastAsia="Times New Roman" w:cstheme="minorHAnsi"/>
          <w:b/>
          <w:noProof/>
          <w:sz w:val="24"/>
          <w:szCs w:val="24"/>
          <w:lang w:eastAsia="ro-RO"/>
        </w:rPr>
      </w:pPr>
      <w:r w:rsidRPr="00515DE0">
        <w:rPr>
          <w:rFonts w:ascii="Trebuchet MS" w:hAnsi="Trebuchet MS"/>
          <w:b/>
          <w:iCs/>
          <w:sz w:val="24"/>
          <w:szCs w:val="24"/>
          <w:lang w:eastAsia="sk-SK"/>
        </w:rPr>
        <w:t xml:space="preserve"> </w:t>
      </w:r>
      <w:r w:rsidRPr="00515DE0">
        <w:rPr>
          <w:rFonts w:cstheme="minorHAnsi"/>
          <w:b/>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D4FC0DD" w14:textId="77777777" w:rsidR="003F4569" w:rsidRPr="00515DE0" w:rsidRDefault="003F4569" w:rsidP="003F4569">
      <w:pPr>
        <w:rPr>
          <w:rFonts w:eastAsia="Times New Roman" w:cstheme="minorHAnsi"/>
          <w:b/>
          <w:noProof/>
          <w:sz w:val="24"/>
          <w:szCs w:val="24"/>
          <w:u w:val="single"/>
          <w:lang w:eastAsia="ro-RO"/>
        </w:rPr>
      </w:pPr>
      <w:r w:rsidRPr="00515DE0">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77A6DB0A"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D8394A">
        <w:rPr>
          <w:rFonts w:asciiTheme="minorHAnsi" w:hAnsiTheme="minorHAnsi" w:cstheme="minorHAnsi"/>
          <w:sz w:val="24"/>
        </w:rPr>
      </w:r>
      <w:r w:rsidR="00D8394A">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1 </w:t>
      </w:r>
    </w:p>
    <w:p w14:paraId="572DF91B"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9BA5EFF"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1DDB1C7A"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D8394A">
        <w:rPr>
          <w:rFonts w:asciiTheme="minorHAnsi" w:hAnsiTheme="minorHAnsi" w:cstheme="minorHAnsi"/>
          <w:sz w:val="24"/>
        </w:rPr>
      </w:r>
      <w:r w:rsidR="00D8394A">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2</w:t>
      </w:r>
    </w:p>
    <w:p w14:paraId="79E044DD"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BBEDC9B"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D8394A">
        <w:rPr>
          <w:rFonts w:asciiTheme="minorHAnsi" w:hAnsiTheme="minorHAnsi" w:cstheme="minorHAnsi"/>
          <w:sz w:val="24"/>
        </w:rPr>
      </w:r>
      <w:r w:rsidR="00D8394A">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3</w:t>
      </w:r>
    </w:p>
    <w:p w14:paraId="5421E5C6"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3378B100"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D8394A">
        <w:rPr>
          <w:rFonts w:asciiTheme="minorHAnsi" w:hAnsiTheme="minorHAnsi" w:cstheme="minorHAnsi"/>
          <w:sz w:val="24"/>
        </w:rPr>
      </w:r>
      <w:r w:rsidR="00D8394A">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4 </w:t>
      </w:r>
    </w:p>
    <w:p w14:paraId="382B1F32"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6958A4F7" w14:textId="77777777" w:rsidR="003F4569" w:rsidRDefault="003F4569" w:rsidP="003F4569">
      <w:pPr>
        <w:pStyle w:val="bullet"/>
        <w:numPr>
          <w:ilvl w:val="0"/>
          <w:numId w:val="0"/>
        </w:numPr>
        <w:tabs>
          <w:tab w:val="left" w:pos="720"/>
        </w:tabs>
        <w:spacing w:before="0" w:after="0"/>
        <w:ind w:left="360"/>
        <w:rPr>
          <w:color w:val="00B050"/>
          <w:sz w:val="24"/>
        </w:rPr>
      </w:pPr>
    </w:p>
    <w:p w14:paraId="08BD95D7" w14:textId="77777777" w:rsidR="003F4569" w:rsidRDefault="003F4569" w:rsidP="003F4569">
      <w:pPr>
        <w:pStyle w:val="ListParagraph"/>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 xml:space="preserve">Mă angajez ca organizația </w:t>
      </w:r>
      <w:r>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 poate fi adaptat)</w:t>
      </w:r>
    </w:p>
    <w:p w14:paraId="6C2A011D" w14:textId="77777777" w:rsidR="003F4569" w:rsidRDefault="003F4569" w:rsidP="003F4569">
      <w:pPr>
        <w:pStyle w:val="ListParagraph"/>
        <w:spacing w:after="0" w:line="240" w:lineRule="auto"/>
        <w:jc w:val="both"/>
        <w:rPr>
          <w:rFonts w:ascii="Trebuchet MS" w:hAnsi="Trebuchet MS" w:cs="Times New Roman"/>
          <w:b/>
          <w:bCs/>
          <w:iCs/>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Să nu utilizeze sprijinul primit pentru finanțarea de intervenții excluse din domeniul de aplicare al Fondului vizat de intervenție (</w:t>
      </w:r>
      <w:r>
        <w:rPr>
          <w:rFonts w:ascii="Trebuchet MS" w:hAnsi="Trebuchet MS" w:cs="Times New Roman"/>
          <w:i/>
          <w:iCs/>
          <w:sz w:val="18"/>
          <w:szCs w:val="18"/>
        </w:rPr>
        <w:t>FEDR/FC art 6 reg FEDR/ FC1058/2021 , FSE+, etc text static introdus la definire apel ca angajament distinct)</w:t>
      </w:r>
    </w:p>
    <w:p w14:paraId="2279B597"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9" w:name="__Fieldmark__14454_1580758020"/>
      <w:bookmarkEnd w:id="9"/>
      <w:r>
        <w:rPr>
          <w:rFonts w:ascii="Trebuchet MS" w:hAnsi="Trebuchet MS" w:cs="Times New Roman"/>
          <w:i/>
          <w:iCs/>
          <w:sz w:val="24"/>
          <w:szCs w:val="24"/>
          <w:lang w:eastAsia="sk-SK"/>
        </w:rPr>
        <w:t xml:space="preserve"> </w:t>
      </w:r>
      <w:r>
        <w:rPr>
          <w:rFonts w:ascii="Trebuchet MS" w:hAnsi="Trebuchet MS" w:cs="Times New Roman"/>
          <w:i/>
          <w:sz w:val="24"/>
          <w:szCs w:val="24"/>
        </w:rPr>
        <w:t>Să asigure contribuţia proprie declarata în sectiunea aferenta din Cererea de Finanțare,</w:t>
      </w:r>
    </w:p>
    <w:p w14:paraId="323825AB"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0" w:name="__Fieldmark__14455_1580758020"/>
      <w:bookmarkEnd w:id="10"/>
      <w:r>
        <w:rPr>
          <w:rFonts w:ascii="Trebuchet MS" w:hAnsi="Trebuchet MS" w:cs="Times New Roman"/>
          <w:i/>
          <w:iCs/>
          <w:sz w:val="24"/>
          <w:szCs w:val="24"/>
          <w:lang w:eastAsia="sk-SK"/>
        </w:rPr>
        <w:t xml:space="preserve"> </w:t>
      </w:r>
      <w:r>
        <w:rPr>
          <w:rFonts w:ascii="Trebuchet MS" w:hAnsi="Trebuchet MS" w:cs="Times New Roman"/>
          <w:i/>
          <w:sz w:val="24"/>
          <w:szCs w:val="24"/>
        </w:rPr>
        <w:t>Să finanţeze toate costurile, inclusiv costurile neeligibile, dar necesare, aferente proiectului,</w:t>
      </w:r>
    </w:p>
    <w:p w14:paraId="2F09D35C"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1" w:name="__Fieldmark__14456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26FE39C7" w14:textId="77777777" w:rsidR="003F4569" w:rsidRDefault="003F4569" w:rsidP="003F4569">
      <w:pPr>
        <w:pStyle w:val="Ghid2"/>
        <w:spacing w:before="0" w:line="276" w:lineRule="auto"/>
        <w:ind w:left="720"/>
        <w:jc w:val="both"/>
        <w:rPr>
          <w:rFonts w:ascii="Calibri" w:hAnsi="Calibri" w:cs="Arial"/>
          <w:i w:val="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D8394A">
        <w:rPr>
          <w:rFonts w:asciiTheme="minorHAnsi" w:hAnsiTheme="minorHAnsi"/>
          <w:sz w:val="22"/>
          <w:szCs w:val="22"/>
        </w:rPr>
      </w:r>
      <w:r w:rsidR="00D8394A">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Pr>
          <w:rFonts w:ascii="Trebuchet MS" w:eastAsiaTheme="minorHAnsi" w:hAnsi="Trebuchet MS"/>
          <w:szCs w:val="24"/>
        </w:rPr>
        <w:t>ă asigure folosința echipamentelor şi bunurilor achiziţionate prin proiect, împreună cu partenerii, după caz, pentru scopul declarat în proiect</w:t>
      </w:r>
    </w:p>
    <w:p w14:paraId="01FB5A78"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2" w:name="__Fieldmark__14457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Pr>
          <w:rFonts w:ascii="Trebuchet MS" w:hAnsi="Trebuchet MS" w:cs="Times New Roman"/>
        </w:rPr>
        <w:t>(pentru investiții din FEDR/FC</w:t>
      </w:r>
      <w:r>
        <w:rPr>
          <w:rFonts w:ascii="Trebuchet MS" w:hAnsi="Trebuchet MS" w:cs="Times New Roman"/>
          <w:b/>
          <w:i/>
          <w:sz w:val="20"/>
          <w:szCs w:val="24"/>
        </w:rPr>
        <w:t>).</w:t>
      </w:r>
    </w:p>
    <w:p w14:paraId="22CA5289"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3" w:name="__Fieldmark__14458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Să prezinte, la momentul contractării, la cererea AM/OI, toate documentele necesare pentru a dovedi îndeplinirea condițiilor de eligibilitate.</w:t>
      </w:r>
    </w:p>
    <w:p w14:paraId="46CD1A4D" w14:textId="77777777" w:rsidR="003F4569" w:rsidRDefault="003F4569" w:rsidP="003F4569">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4" w:name="__Fieldmark__14459_1580758020"/>
    <w:bookmarkEnd w:id="14"/>
    <w:p w14:paraId="4576E639"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5" w:name="__Fieldmark__14460_1580758020"/>
      <w:bookmarkEnd w:id="15"/>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7D6AE1E9"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6" w:name="__Fieldmark__14461_1580758020"/>
      <w:bookmarkEnd w:id="16"/>
      <w:r>
        <w:rPr>
          <w:rFonts w:ascii="Trebuchet MS" w:hAnsi="Trebuchet MS" w:cs="Times New Roman"/>
          <w:i/>
          <w:iCs/>
          <w:sz w:val="24"/>
          <w:szCs w:val="24"/>
          <w:lang w:eastAsia="sk-SK"/>
        </w:rPr>
        <w:t xml:space="preserve"> </w:t>
      </w:r>
      <w:r>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869933F"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bookmarkStart w:id="17" w:name="__Fieldmark__14462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Pr>
          <w:rFonts w:ascii="Trebuchet MS" w:hAnsi="Trebuchet MS" w:cs="Times New Roman"/>
          <w:i/>
          <w:sz w:val="24"/>
          <w:szCs w:val="24"/>
          <w:highlight w:val="lightGray"/>
        </w:rPr>
        <w:t>xxx</w:t>
      </w:r>
      <w:r>
        <w:rPr>
          <w:rFonts w:ascii="Trebuchet MS" w:hAnsi="Trebuchet MS" w:cs="Times New Roman"/>
          <w:i/>
          <w:sz w:val="24"/>
          <w:szCs w:val="24"/>
        </w:rPr>
        <w:t>&gt;  de la luarea la cunoștință a situației respective.</w:t>
      </w:r>
    </w:p>
    <w:p w14:paraId="55428511" w14:textId="77777777"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73F7CB51" w14:textId="1BBB2C35" w:rsidR="003F4569" w:rsidRDefault="00955B1F" w:rsidP="003F4569">
      <w:pPr>
        <w:pStyle w:val="ListParagraph"/>
        <w:spacing w:after="0" w:line="240" w:lineRule="auto"/>
        <w:jc w:val="both"/>
        <w:rPr>
          <w:rFonts w:ascii="Trebuchet MS" w:hAnsi="Trebuchet MS" w:cs="Times New Roman"/>
          <w:i/>
          <w:color w:val="C00000"/>
          <w:sz w:val="24"/>
          <w:szCs w:val="24"/>
        </w:rPr>
      </w:pPr>
      <w:r>
        <w:fldChar w:fldCharType="begin">
          <w:ffData>
            <w:name w:val=""/>
            <w:enabled/>
            <w:calcOnExit w:val="0"/>
            <w:checkBox>
              <w:sizeAuto/>
              <w:default w:val="0"/>
            </w:checkBox>
          </w:ffData>
        </w:fldChar>
      </w:r>
      <w:r>
        <w:instrText xml:space="preserve"> FORMCHECKBOX </w:instrText>
      </w:r>
      <w:r w:rsidR="00D8394A">
        <w:fldChar w:fldCharType="separate"/>
      </w:r>
      <w:r>
        <w:fldChar w:fldCharType="end"/>
      </w:r>
      <w:r>
        <w:t xml:space="preserve"> </w:t>
      </w:r>
      <w:r w:rsidR="003F4569">
        <w:rPr>
          <w:rFonts w:ascii="Trebuchet MS" w:hAnsi="Trebuchet MS" w:cs="Times New Roman"/>
          <w:i/>
          <w:sz w:val="24"/>
          <w:szCs w:val="24"/>
        </w:rPr>
        <w:t xml:space="preserve">Alte cerințe specifice pentru fiecare apel de proiecte </w:t>
      </w:r>
      <w:r w:rsidR="003F4569">
        <w:rPr>
          <w:rFonts w:ascii="Trebuchet MS" w:hAnsi="Trebuchet MS" w:cs="Times New Roman"/>
          <w:i/>
          <w:color w:val="00B050"/>
          <w:sz w:val="24"/>
          <w:szCs w:val="24"/>
        </w:rPr>
        <w:t>(</w:t>
      </w:r>
      <w:r w:rsidR="003F4569">
        <w:rPr>
          <w:rFonts w:ascii="Trebuchet MS" w:hAnsi="Trebuchet MS" w:cs="Times New Roman"/>
          <w:i/>
          <w:iCs/>
          <w:color w:val="C00000"/>
          <w:sz w:val="18"/>
          <w:szCs w:val="18"/>
        </w:rPr>
        <w:t>text static introdus la definire apel ca angajament distinct, va fi adaptat de către Autoritatea de management pentru fiecare apel</w:t>
      </w:r>
      <w:r w:rsidR="003F4569">
        <w:rPr>
          <w:rFonts w:ascii="Trebuchet MS" w:hAnsi="Trebuchet MS" w:cs="Times New Roman"/>
          <w:i/>
          <w:color w:val="C00000"/>
          <w:sz w:val="24"/>
          <w:szCs w:val="24"/>
        </w:rPr>
        <w:t>).</w:t>
      </w:r>
    </w:p>
    <w:bookmarkStart w:id="18" w:name="_GoBack"/>
    <w:bookmarkEnd w:id="18"/>
    <w:p w14:paraId="264F20A1" w14:textId="3A9774FA" w:rsidR="001D7423" w:rsidRPr="00D8394A" w:rsidRDefault="00D8394A" w:rsidP="00D8394A">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001D7423" w:rsidRPr="00D8394A">
        <w:rPr>
          <w:rFonts w:ascii="Trebuchet MS" w:hAnsi="Trebuchet MS" w:cs="Times New Roman"/>
          <w:i/>
          <w:sz w:val="24"/>
          <w:szCs w:val="24"/>
        </w:rPr>
        <w:t>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Pentru apelurile lansate se va depune format pdf.</w:t>
      </w:r>
    </w:p>
    <w:p w14:paraId="2FCFED39" w14:textId="77777777" w:rsidR="00315056" w:rsidRPr="003613D9" w:rsidRDefault="00315056" w:rsidP="00315056">
      <w:pPr>
        <w:pStyle w:val="ListParagraph"/>
        <w:suppressAutoHyphens w:val="0"/>
        <w:spacing w:after="0"/>
        <w:ind w:left="782" w:right="64"/>
        <w:jc w:val="both"/>
        <w:rPr>
          <w:rFonts w:ascii="Trebuchet MS" w:hAnsi="Trebuchet MS"/>
          <w:sz w:val="24"/>
          <w:szCs w:val="24"/>
        </w:rPr>
      </w:pPr>
    </w:p>
    <w:p w14:paraId="043FE315" w14:textId="4F792752" w:rsidR="003F4569" w:rsidRDefault="001D7423" w:rsidP="003F4569">
      <w:pPr>
        <w:pStyle w:val="ListParagraph"/>
        <w:numPr>
          <w:ilvl w:val="0"/>
          <w:numId w:val="2"/>
        </w:numPr>
        <w:suppressAutoHyphens w:val="0"/>
        <w:spacing w:after="0"/>
        <w:ind w:left="782" w:right="64" w:hanging="357"/>
        <w:jc w:val="both"/>
        <w:rPr>
          <w:rFonts w:ascii="Trebuchet MS" w:hAnsi="Trebuchet MS"/>
          <w:sz w:val="24"/>
          <w:szCs w:val="24"/>
        </w:rPr>
      </w:pPr>
      <w:r>
        <w:rPr>
          <w:rFonts w:ascii="Trebuchet MS" w:hAnsi="Trebuchet MS"/>
          <w:b/>
          <w:bCs/>
          <w:sz w:val="24"/>
          <w:szCs w:val="24"/>
        </w:rPr>
        <w:t xml:space="preserve">Imi </w:t>
      </w:r>
      <w:r w:rsidR="003F4569">
        <w:rPr>
          <w:rFonts w:ascii="Trebuchet MS" w:hAnsi="Trebuchet MS"/>
          <w:b/>
          <w:bCs/>
          <w:sz w:val="24"/>
          <w:szCs w:val="24"/>
        </w:rPr>
        <w:t>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3F4569">
        <w:rPr>
          <w:rFonts w:ascii="Trebuchet MS" w:hAnsi="Trebuchet MS"/>
          <w:sz w:val="24"/>
          <w:szCs w:val="24"/>
        </w:rPr>
        <w:t>.</w:t>
      </w:r>
    </w:p>
    <w:p w14:paraId="769BC0B9" w14:textId="77777777" w:rsidR="00955B1F" w:rsidRDefault="00955B1F" w:rsidP="00955B1F">
      <w:pPr>
        <w:pStyle w:val="ListParagraph"/>
        <w:suppressAutoHyphens w:val="0"/>
        <w:spacing w:after="0"/>
        <w:ind w:left="782" w:right="64"/>
        <w:jc w:val="both"/>
        <w:rPr>
          <w:rFonts w:ascii="Trebuchet MS" w:hAnsi="Trebuchet MS"/>
          <w:sz w:val="24"/>
          <w:szCs w:val="24"/>
        </w:rPr>
      </w:pPr>
    </w:p>
    <w:p w14:paraId="21F74B76" w14:textId="503D6062" w:rsidR="003F4569" w:rsidRDefault="003F4569" w:rsidP="003F4569">
      <w:pPr>
        <w:pStyle w:val="bullet"/>
        <w:numPr>
          <w:ilvl w:val="0"/>
          <w:numId w:val="2"/>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955B1F">
        <w:rPr>
          <w:b/>
          <w:sz w:val="24"/>
        </w:rPr>
        <w:t>.</w:t>
      </w:r>
    </w:p>
    <w:p w14:paraId="7B371DB3" w14:textId="77777777" w:rsidR="00955B1F" w:rsidRDefault="00955B1F" w:rsidP="00955B1F">
      <w:pPr>
        <w:pStyle w:val="ListParagraph"/>
        <w:rPr>
          <w:b/>
          <w:sz w:val="24"/>
        </w:rPr>
      </w:pPr>
    </w:p>
    <w:p w14:paraId="2716B580" w14:textId="77777777" w:rsidR="003F4569" w:rsidRDefault="003F4569" w:rsidP="003F4569">
      <w:pPr>
        <w:pStyle w:val="bullet"/>
        <w:numPr>
          <w:ilvl w:val="0"/>
          <w:numId w:val="2"/>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7570FF73" w14:textId="77777777" w:rsidR="00955B1F" w:rsidRDefault="00955B1F" w:rsidP="00955B1F">
      <w:pPr>
        <w:pStyle w:val="ListParagraph"/>
        <w:rPr>
          <w:b/>
          <w:sz w:val="24"/>
        </w:rPr>
      </w:pPr>
    </w:p>
    <w:p w14:paraId="2212F758" w14:textId="77777777" w:rsidR="00955B1F" w:rsidRPr="0036789F" w:rsidRDefault="00955B1F" w:rsidP="00955B1F">
      <w:pPr>
        <w:spacing w:before="120" w:after="120"/>
        <w:ind w:left="180" w:hanging="180"/>
        <w:rPr>
          <w:rFonts w:cstheme="minorHAnsi"/>
          <w:b/>
          <w:sz w:val="24"/>
          <w:szCs w:val="24"/>
        </w:rPr>
      </w:pPr>
      <w:r w:rsidRPr="003E29CA">
        <w:rPr>
          <w:rFonts w:cstheme="minorHAnsi"/>
          <w:b/>
          <w:sz w:val="24"/>
          <w:szCs w:val="24"/>
        </w:rPr>
        <w:t>Observație</w:t>
      </w:r>
      <w:r>
        <w:rPr>
          <w:rFonts w:cstheme="minorHAnsi"/>
          <w:b/>
          <w:sz w:val="24"/>
          <w:szCs w:val="24"/>
          <w:lang w:val="en-US"/>
        </w:rPr>
        <w:t>:</w:t>
      </w:r>
    </w:p>
    <w:p w14:paraId="4CA7BD17" w14:textId="77777777" w:rsidR="00955B1F" w:rsidRPr="003E29CA" w:rsidRDefault="00955B1F" w:rsidP="00955B1F">
      <w:pPr>
        <w:spacing w:before="120" w:after="120"/>
        <w:jc w:val="both"/>
        <w:rPr>
          <w:rFonts w:cstheme="minorHAnsi"/>
          <w:sz w:val="24"/>
          <w:szCs w:val="24"/>
        </w:rPr>
      </w:pPr>
      <w:r w:rsidRPr="003E29CA">
        <w:rPr>
          <w:rFonts w:cstheme="minorHAnsi"/>
          <w:sz w:val="24"/>
          <w:szCs w:val="24"/>
        </w:rPr>
        <w:t>Având în vedere că platforma MySMIS nu permite modificarea Dec</w:t>
      </w:r>
      <w:r>
        <w:rPr>
          <w:rFonts w:cstheme="minorHAnsi"/>
          <w:sz w:val="24"/>
          <w:szCs w:val="24"/>
        </w:rPr>
        <w:t xml:space="preserve">larației unice pentru apelurile </w:t>
      </w:r>
      <w:r w:rsidRPr="003E29CA">
        <w:rPr>
          <w:rFonts w:cstheme="minorHAnsi"/>
          <w:sz w:val="24"/>
          <w:szCs w:val="24"/>
        </w:rPr>
        <w:t>deschise, noua declarație unică va fi încărcată în format pdf semnată electronic de reprezentantul legal al solicitantului. În cazul cererilor de finanțare aflate în etapa de evaluare se va solicita actualizarea declarației unice.</w:t>
      </w:r>
    </w:p>
    <w:p w14:paraId="0C7B68D2" w14:textId="77777777" w:rsidR="00955B1F" w:rsidRDefault="00955B1F" w:rsidP="00955B1F">
      <w:pPr>
        <w:pStyle w:val="bullet"/>
        <w:numPr>
          <w:ilvl w:val="0"/>
          <w:numId w:val="0"/>
        </w:numPr>
        <w:spacing w:before="0" w:after="0"/>
        <w:ind w:left="720" w:hanging="360"/>
        <w:rPr>
          <w:b/>
          <w:sz w:val="24"/>
        </w:rPr>
      </w:pPr>
    </w:p>
    <w:p w14:paraId="0B04E3B4" w14:textId="77777777" w:rsidR="00955B1F" w:rsidRDefault="00955B1F" w:rsidP="00955B1F">
      <w:pPr>
        <w:pStyle w:val="bullet"/>
        <w:numPr>
          <w:ilvl w:val="0"/>
          <w:numId w:val="0"/>
        </w:numPr>
        <w:spacing w:before="0" w:after="0"/>
        <w:ind w:left="720" w:hanging="360"/>
        <w:rPr>
          <w:b/>
          <w:sz w:val="24"/>
        </w:rPr>
      </w:pPr>
    </w:p>
    <w:p w14:paraId="2D3DBBDA" w14:textId="77777777"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345C778F" w14:textId="77777777"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funcție</w:t>
      </w:r>
      <w:r>
        <w:rPr>
          <w:b/>
          <w:sz w:val="24"/>
        </w:rPr>
        <w:t xml:space="preserve">&gt;, </w:t>
      </w:r>
    </w:p>
    <w:p w14:paraId="5A6368DD" w14:textId="77777777" w:rsidR="003F4569" w:rsidRDefault="003F4569" w:rsidP="003F4569">
      <w:pPr>
        <w:pStyle w:val="bullet"/>
        <w:numPr>
          <w:ilvl w:val="0"/>
          <w:numId w:val="0"/>
        </w:numPr>
        <w:tabs>
          <w:tab w:val="left" w:pos="720"/>
        </w:tabs>
        <w:spacing w:before="0" w:after="0"/>
        <w:ind w:left="720" w:hanging="360"/>
        <w:rPr>
          <w:b/>
          <w:sz w:val="24"/>
        </w:rPr>
      </w:pPr>
      <w:r>
        <w:rPr>
          <w:b/>
          <w:sz w:val="24"/>
        </w:rPr>
        <w:t xml:space="preserve">Semnătură </w:t>
      </w:r>
    </w:p>
    <w:p w14:paraId="32BABDCD" w14:textId="77777777" w:rsidR="003F4569" w:rsidRDefault="003F4569" w:rsidP="003F4569">
      <w:pPr>
        <w:pStyle w:val="bullet"/>
        <w:numPr>
          <w:ilvl w:val="0"/>
          <w:numId w:val="0"/>
        </w:numPr>
        <w:tabs>
          <w:tab w:val="left" w:pos="720"/>
        </w:tabs>
        <w:spacing w:before="0" w:after="0"/>
        <w:ind w:left="720" w:hanging="360"/>
        <w:rPr>
          <w:b/>
          <w:sz w:val="24"/>
        </w:rPr>
      </w:pPr>
      <w:r>
        <w:rPr>
          <w:b/>
          <w:sz w:val="24"/>
        </w:rPr>
        <w:t>Dată (</w:t>
      </w:r>
      <w:r>
        <w:rPr>
          <w:b/>
          <w:sz w:val="24"/>
          <w:highlight w:val="lightGray"/>
        </w:rPr>
        <w:t>zz/ll/aaaa</w:t>
      </w:r>
      <w:r>
        <w:rPr>
          <w:b/>
          <w:sz w:val="24"/>
        </w:rPr>
        <w:t xml:space="preserve">) </w:t>
      </w:r>
    </w:p>
    <w:sectPr w:rsidR="003F456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87E7C" w14:textId="77777777" w:rsidR="00DE211D" w:rsidRDefault="00DE211D" w:rsidP="003F4569">
      <w:pPr>
        <w:spacing w:after="0" w:line="240" w:lineRule="auto"/>
      </w:pPr>
      <w:r>
        <w:separator/>
      </w:r>
    </w:p>
  </w:endnote>
  <w:endnote w:type="continuationSeparator" w:id="0">
    <w:p w14:paraId="25C841F4" w14:textId="77777777" w:rsidR="00DE211D" w:rsidRDefault="00DE211D"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261CA" w14:textId="77777777" w:rsidR="00DE211D" w:rsidRDefault="00DE211D" w:rsidP="003F4569">
      <w:pPr>
        <w:spacing w:after="0" w:line="240" w:lineRule="auto"/>
      </w:pPr>
      <w:r>
        <w:separator/>
      </w:r>
    </w:p>
  </w:footnote>
  <w:footnote w:type="continuationSeparator" w:id="0">
    <w:p w14:paraId="7E060DC1" w14:textId="77777777" w:rsidR="00DE211D" w:rsidRDefault="00DE211D" w:rsidP="003F4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 w:numId="9">
    <w:abstractNumId w:val="9"/>
  </w:num>
  <w:num w:numId="10">
    <w:abstractNumId w:val="4"/>
  </w:num>
  <w:num w:numId="11">
    <w:abstractNumId w:val="8"/>
  </w:num>
  <w:num w:numId="12">
    <w:abstractNumId w:val="6"/>
  </w:num>
  <w:num w:numId="13">
    <w:abstractNumId w:val="0"/>
  </w:num>
  <w:num w:numId="14">
    <w:abstractNumId w:val="2"/>
  </w:num>
  <w:num w:numId="15">
    <w:abstractNumId w:val="10"/>
  </w:num>
  <w:num w:numId="16">
    <w:abstractNumId w:val="5"/>
  </w:num>
  <w:num w:numId="17">
    <w:abstractNumId w:val="11"/>
  </w:num>
  <w:num w:numId="18">
    <w:abstractNumId w:val="15"/>
  </w:num>
  <w:num w:numId="19">
    <w:abstractNumId w:val="14"/>
  </w:num>
  <w:num w:numId="20">
    <w:abstractNumId w:val="13"/>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45"/>
    <w:rsid w:val="00082F27"/>
    <w:rsid w:val="000A3399"/>
    <w:rsid w:val="00146BDA"/>
    <w:rsid w:val="001D7423"/>
    <w:rsid w:val="00201895"/>
    <w:rsid w:val="002C6107"/>
    <w:rsid w:val="003113E6"/>
    <w:rsid w:val="00313A2D"/>
    <w:rsid w:val="00315056"/>
    <w:rsid w:val="00330F27"/>
    <w:rsid w:val="00340B3A"/>
    <w:rsid w:val="003613D9"/>
    <w:rsid w:val="003F4569"/>
    <w:rsid w:val="004645BA"/>
    <w:rsid w:val="004A4F1B"/>
    <w:rsid w:val="004D6BC9"/>
    <w:rsid w:val="00515DE0"/>
    <w:rsid w:val="005306FC"/>
    <w:rsid w:val="00595402"/>
    <w:rsid w:val="005B0963"/>
    <w:rsid w:val="006551DC"/>
    <w:rsid w:val="0077728D"/>
    <w:rsid w:val="007A4174"/>
    <w:rsid w:val="007A45A3"/>
    <w:rsid w:val="007F652E"/>
    <w:rsid w:val="00810601"/>
    <w:rsid w:val="00821580"/>
    <w:rsid w:val="00892CE9"/>
    <w:rsid w:val="008D229E"/>
    <w:rsid w:val="009434F6"/>
    <w:rsid w:val="00947442"/>
    <w:rsid w:val="00955B1F"/>
    <w:rsid w:val="00A30D03"/>
    <w:rsid w:val="00A60908"/>
    <w:rsid w:val="00B411C2"/>
    <w:rsid w:val="00B47091"/>
    <w:rsid w:val="00B7760E"/>
    <w:rsid w:val="00B90933"/>
    <w:rsid w:val="00B91B97"/>
    <w:rsid w:val="00CD7963"/>
    <w:rsid w:val="00CE3611"/>
    <w:rsid w:val="00D01F49"/>
    <w:rsid w:val="00D115D2"/>
    <w:rsid w:val="00D40F45"/>
    <w:rsid w:val="00D8394A"/>
    <w:rsid w:val="00DE211D"/>
    <w:rsid w:val="00E761EB"/>
    <w:rsid w:val="00F208DC"/>
    <w:rsid w:val="00F66B17"/>
    <w:rsid w:val="00FD4B55"/>
    <w:rsid w:val="00FD774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A21F"/>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2123</Words>
  <Characters>12105</Characters>
  <Application>Microsoft Office Word</Application>
  <DocSecurity>0</DocSecurity>
  <Lines>100</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Simina Petrescu</cp:lastModifiedBy>
  <cp:revision>10</cp:revision>
  <dcterms:created xsi:type="dcterms:W3CDTF">2023-07-25T10:06:00Z</dcterms:created>
  <dcterms:modified xsi:type="dcterms:W3CDTF">2024-01-17T12:31:00Z</dcterms:modified>
</cp:coreProperties>
</file>