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Lucida Handwriting" w:hAnsi="Lucida Handwriting"/>
          <w:b/>
          <w:bCs/>
          <w:color w:val="000000" w:themeColor="text1"/>
          <w:lang w:val="ro-RO"/>
        </w:rPr>
        <w:id w:val="840432030"/>
        <w:docPartObj>
          <w:docPartGallery w:val="Cover Pages"/>
          <w:docPartUnique/>
        </w:docPartObj>
      </w:sdtPr>
      <w:sdtEndPr/>
      <w:sdtContent>
        <w:p w14:paraId="7061C9B2" w14:textId="77777777" w:rsidR="003A1B30" w:rsidRPr="00225D91" w:rsidRDefault="003A1B30" w:rsidP="003A1B30">
          <w:pPr>
            <w:rPr>
              <w:rFonts w:ascii="Lucida Handwriting" w:hAnsi="Lucida Handwriting"/>
              <w:b/>
              <w:bCs/>
              <w:color w:val="000000" w:themeColor="text1"/>
              <w:lang w:val="ro-RO"/>
            </w:rPr>
          </w:pPr>
          <w:r w:rsidRPr="00225D91">
            <w:rPr>
              <w:rFonts w:ascii="Lucida Handwriting" w:hAnsi="Lucida Handwriting"/>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683683">
                                      <w:pPr>
                                        <w:spacing w:line="276" w:lineRule="auto"/>
                                        <w:ind w:left="-65"/>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4AD36E08"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22DA4212" w:rsidR="003A1B30" w:rsidRPr="00126E65" w:rsidRDefault="003A1B30" w:rsidP="00126E65">
                                      <w:pPr>
                                        <w:spacing w:line="276" w:lineRule="auto"/>
                                        <w:ind w:left="-159" w:right="-64"/>
                                        <w:jc w:val="center"/>
                                        <w:rPr>
                                          <w:rFonts w:cstheme="minorHAnsi"/>
                                          <w:b/>
                                          <w:bCs/>
                                          <w:sz w:val="36"/>
                                          <w:szCs w:val="36"/>
                                          <w:lang w:val="ro-RO"/>
                                        </w:rPr>
                                      </w:pPr>
                                    </w:p>
                                    <w:p w14:paraId="47531BFA" w14:textId="77777777" w:rsidR="003A1B30" w:rsidRDefault="009F6742">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683683">
                                <w:pPr>
                                  <w:spacing w:line="276" w:lineRule="auto"/>
                                  <w:ind w:left="-65"/>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4AD36E08"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22DA4212" w:rsidR="003A1B30" w:rsidRPr="00126E65" w:rsidRDefault="003A1B30" w:rsidP="00126E65">
                                <w:pPr>
                                  <w:spacing w:line="276" w:lineRule="auto"/>
                                  <w:ind w:left="-159" w:right="-64"/>
                                  <w:jc w:val="center"/>
                                  <w:rPr>
                                    <w:rFonts w:cstheme="minorHAnsi"/>
                                    <w:b/>
                                    <w:bCs/>
                                    <w:sz w:val="36"/>
                                    <w:szCs w:val="36"/>
                                    <w:lang w:val="ro-RO"/>
                                  </w:rPr>
                                </w:pPr>
                              </w:p>
                              <w:p w14:paraId="47531BFA" w14:textId="77777777" w:rsidR="003A1B30" w:rsidRDefault="009F6742">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225D91">
            <w:rPr>
              <w:rFonts w:ascii="Lucida Handwriting" w:hAnsi="Lucida Handwriting"/>
              <w:b/>
              <w:bCs/>
              <w:color w:val="000000" w:themeColor="text1"/>
              <w:lang w:val="ro-RO"/>
            </w:rPr>
            <w:br w:type="page"/>
          </w:r>
        </w:p>
      </w:sdtContent>
    </w:sdt>
    <w:p w14:paraId="6974AF6E" w14:textId="26C025DA" w:rsidR="003A1B30" w:rsidRPr="00225D91" w:rsidRDefault="003A1B30" w:rsidP="003A1B30">
      <w:pPr>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lastRenderedPageBreak/>
        <w:t>EVALUARE ”DO NO SIGNIFICANT HARM”</w:t>
      </w:r>
    </w:p>
    <w:p w14:paraId="3C7B00ED" w14:textId="53CF052F" w:rsidR="003A1B30" w:rsidRPr="00225D91" w:rsidRDefault="00A24CA5" w:rsidP="003A1B30">
      <w:pPr>
        <w:spacing w:after="0" w:line="276" w:lineRule="auto"/>
        <w:jc w:val="center"/>
        <w:rPr>
          <w:rFonts w:cstheme="minorHAnsi"/>
          <w:b/>
          <w:bCs/>
          <w:color w:val="000000" w:themeColor="text1"/>
          <w:sz w:val="28"/>
          <w:szCs w:val="28"/>
          <w:lang w:val="ro-RO"/>
        </w:rPr>
      </w:pPr>
      <w:r>
        <w:rPr>
          <w:rFonts w:cstheme="minorHAnsi"/>
          <w:b/>
          <w:bCs/>
          <w:color w:val="000000" w:themeColor="text1"/>
          <w:sz w:val="28"/>
          <w:szCs w:val="28"/>
          <w:lang w:val="ro-RO"/>
        </w:rPr>
        <w:t>P</w:t>
      </w:r>
      <w:r w:rsidR="003A1B30" w:rsidRPr="00225D91">
        <w:rPr>
          <w:rFonts w:cstheme="minorHAnsi"/>
          <w:b/>
          <w:bCs/>
          <w:color w:val="000000" w:themeColor="text1"/>
          <w:sz w:val="28"/>
          <w:szCs w:val="28"/>
          <w:lang w:val="ro-RO"/>
        </w:rPr>
        <w:t>R SUD-VEST OLTENIA 2021-2027</w:t>
      </w:r>
    </w:p>
    <w:p w14:paraId="55DF6880" w14:textId="77777777" w:rsidR="003A1B30" w:rsidRPr="00225D91" w:rsidRDefault="003A1B30" w:rsidP="003A1B30">
      <w:pPr>
        <w:spacing w:line="276" w:lineRule="auto"/>
        <w:jc w:val="both"/>
        <w:rPr>
          <w:rFonts w:ascii="Lucida Handwriting" w:hAnsi="Lucida Handwriting"/>
          <w:b/>
          <w:bCs/>
          <w:color w:val="000000" w:themeColor="text1"/>
          <w:lang w:val="ro-RO"/>
        </w:rPr>
      </w:pPr>
    </w:p>
    <w:p w14:paraId="76B8DF9F" w14:textId="4640EF60"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Acest document are drept scop realizarea analizei conform metodologiei recomandate pentru respectarea principiului ”Do No</w:t>
      </w:r>
      <w:r w:rsidR="00A24CA5">
        <w:rPr>
          <w:rFonts w:asciiTheme="minorHAnsi" w:hAnsiTheme="minorHAnsi" w:cstheme="minorHAnsi"/>
          <w:color w:val="000000" w:themeColor="text1"/>
          <w:sz w:val="22"/>
          <w:szCs w:val="22"/>
          <w:lang w:val="ro-RO"/>
        </w:rPr>
        <w:t>t Significant Harm” în cadrul P</w:t>
      </w:r>
      <w:r w:rsidRPr="00225D91">
        <w:rPr>
          <w:rFonts w:asciiTheme="minorHAnsi" w:hAnsiTheme="minorHAnsi" w:cstheme="minorHAnsi"/>
          <w:color w:val="000000" w:themeColor="text1"/>
          <w:sz w:val="22"/>
          <w:szCs w:val="22"/>
          <w:lang w:val="ro-RO"/>
        </w:rPr>
        <w:t xml:space="preserve">R Sud-Vest Oltenia 2021-2027, în concordanță cu articolul 9 – Principii orizontale – din </w:t>
      </w:r>
      <w:r w:rsidRPr="00225D91">
        <w:rPr>
          <w:rFonts w:asciiTheme="minorHAnsi" w:hAnsiTheme="minorHAnsi" w:cstheme="minorHAnsi"/>
          <w:color w:val="000000" w:themeColor="text1"/>
          <w:sz w:val="22"/>
          <w:szCs w:val="22"/>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225D91">
        <w:rPr>
          <w:rFonts w:asciiTheme="minorHAnsi" w:hAnsiTheme="minorHAnsi" w:cstheme="minorHAnsi"/>
          <w:color w:val="000000" w:themeColor="text1"/>
          <w:sz w:val="22"/>
          <w:szCs w:val="22"/>
          <w:lang w:val="ro-RO"/>
        </w:rPr>
        <w:t>, conform căruia obiectivele fondurilor trebuie să țină seama de principiul de „a nu prejudicia în mod semnificativ”.</w:t>
      </w:r>
    </w:p>
    <w:p w14:paraId="2D67D0E5"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Principiul de „a nu prejudicia în mod semnificativ” trebuie interpretat în sensul articolului 17 din </w:t>
      </w:r>
      <w:r w:rsidRPr="00225D91">
        <w:rPr>
          <w:rFonts w:asciiTheme="minorHAnsi" w:hAnsiTheme="minorHAnsi" w:cstheme="minorHAnsi"/>
          <w:color w:val="000000" w:themeColor="text1"/>
          <w:sz w:val="22"/>
          <w:szCs w:val="22"/>
          <w:shd w:val="clear" w:color="auto" w:fill="FFFFFF"/>
          <w:lang w:val="ro-RO"/>
        </w:rPr>
        <w:t>Regulamentul (UE) 2020/852 privind instituirea unui cadru de facilitare a investițiilor durabile (Regulamentul privind Taxonomia)</w:t>
      </w:r>
      <w:r w:rsidRPr="00225D91">
        <w:rPr>
          <w:rFonts w:ascii="Trebuchet MS" w:hAnsi="Trebuchet MS"/>
          <w:color w:val="000000" w:themeColor="text1"/>
          <w:sz w:val="20"/>
          <w:szCs w:val="20"/>
          <w:shd w:val="clear" w:color="auto" w:fill="FFFFFF"/>
          <w:lang w:val="ro-RO"/>
        </w:rPr>
        <w:t> </w:t>
      </w:r>
      <w:r w:rsidRPr="00225D91">
        <w:rPr>
          <w:rFonts w:asciiTheme="minorHAnsi" w:hAnsiTheme="minorHAnsi" w:cstheme="minorHAnsi"/>
          <w:color w:val="000000" w:themeColor="text1"/>
          <w:sz w:val="22"/>
          <w:szCs w:val="22"/>
          <w:lang w:val="ro-RO"/>
        </w:rPr>
        <w:t>, care definește noțiunea de „prejudiciere în mod semnificativ” pentru șase obiective de mediu, respectiv:</w:t>
      </w:r>
    </w:p>
    <w:p w14:paraId="02C5BE0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atenuarea schimbărilor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generează emisii semnificative de gaze cu efect de seră (GES).</w:t>
      </w:r>
    </w:p>
    <w:p w14:paraId="7717EE67"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adaptarea la schimbările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 xml:space="preserve">utilizarea durabilă și protejarea resurselor de apă și a celor marine </w:t>
      </w:r>
      <w:r w:rsidRPr="00225D91">
        <w:rPr>
          <w:rFonts w:asciiTheme="minorHAnsi" w:hAnsiTheme="minorHAnsi" w:cstheme="minorHAnsi"/>
          <w:color w:val="000000" w:themeColor="text1"/>
          <w:sz w:val="22"/>
          <w:szCs w:val="22"/>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economia circulară</w:t>
      </w:r>
      <w:r w:rsidRPr="00225D91">
        <w:rPr>
          <w:rFonts w:asciiTheme="minorHAnsi" w:hAnsiTheme="minorHAnsi" w:cstheme="minorHAnsi"/>
          <w:color w:val="000000" w:themeColor="text1"/>
          <w:sz w:val="22"/>
          <w:szCs w:val="22"/>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prevenirea și controlul poluării</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o creștere semnificativă a emisiilor de poluanți în aer, apă sau sol.</w:t>
      </w:r>
    </w:p>
    <w:p w14:paraId="59A24BF9"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economică prejudiciază în mod semnificativ </w:t>
      </w:r>
      <w:r w:rsidRPr="00225D91">
        <w:rPr>
          <w:rFonts w:asciiTheme="minorHAnsi" w:hAnsiTheme="minorHAnsi" w:cstheme="minorHAnsi"/>
          <w:b/>
          <w:bCs/>
          <w:i/>
          <w:iCs/>
          <w:color w:val="000000" w:themeColor="text1"/>
          <w:sz w:val="22"/>
          <w:szCs w:val="22"/>
          <w:lang w:val="ro-RO"/>
        </w:rPr>
        <w:t>protecția și refacerea biodiversității și a ecosistemelor</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225D91" w:rsidRDefault="003A1B30" w:rsidP="003A1B30">
      <w:pPr>
        <w:spacing w:before="240" w:line="276" w:lineRule="auto"/>
        <w:jc w:val="both"/>
        <w:rPr>
          <w:color w:val="000000" w:themeColor="text1"/>
          <w:lang w:val="ro-RO"/>
        </w:rPr>
      </w:pPr>
      <w:r w:rsidRPr="00225D91">
        <w:rPr>
          <w:color w:val="000000" w:themeColor="text1"/>
          <w:lang w:val="ro-RO"/>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5CC36CB5"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Obiectivul general al Programului Regional Sud-Vest Oltenia 2021 – 2027 (PRSVO) vizează </w:t>
      </w:r>
      <w:r w:rsidRPr="00225D91">
        <w:rPr>
          <w:rFonts w:asciiTheme="minorHAnsi" w:hAnsiTheme="minorHAnsi" w:cstheme="minorHAnsi"/>
          <w:i/>
          <w:iCs/>
          <w:color w:val="000000" w:themeColor="text1"/>
          <w:sz w:val="22"/>
          <w:szCs w:val="22"/>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225D91">
        <w:rPr>
          <w:rFonts w:asciiTheme="minorHAnsi" w:hAnsiTheme="minorHAnsi" w:cstheme="minorHAnsi"/>
          <w:color w:val="000000" w:themeColor="text1"/>
          <w:sz w:val="22"/>
          <w:szCs w:val="22"/>
          <w:lang w:val="ro-RO"/>
        </w:rPr>
        <w:t>.</w:t>
      </w:r>
    </w:p>
    <w:p w14:paraId="6796F599" w14:textId="77777777" w:rsidR="003A1B30" w:rsidRPr="00225D91" w:rsidRDefault="003A1B30" w:rsidP="003A6EDE">
      <w:pPr>
        <w:spacing w:before="120" w:line="276" w:lineRule="auto"/>
        <w:jc w:val="both"/>
        <w:rPr>
          <w:color w:val="000000" w:themeColor="text1"/>
          <w:lang w:val="ro-RO"/>
        </w:rPr>
      </w:pPr>
      <w:r w:rsidRPr="00225D91">
        <w:rPr>
          <w:color w:val="000000" w:themeColor="text1"/>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Potrivit</w:t>
      </w:r>
      <w:r w:rsidRPr="00225D91">
        <w:rPr>
          <w:color w:val="000000" w:themeColor="text1"/>
          <w:sz w:val="23"/>
          <w:szCs w:val="23"/>
          <w:lang w:val="ro-RO"/>
        </w:rPr>
        <w:t xml:space="preserve"> </w:t>
      </w:r>
      <w:r w:rsidRPr="00225D91">
        <w:rPr>
          <w:color w:val="000000" w:themeColor="text1"/>
          <w:lang w:val="ro-RO"/>
        </w:rPr>
        <w:t xml:space="preserve">Ghidului oferit de COM în luna februarie 2021 și Regulamentului privind taxonomia, evaluarea pe principiul DNSH trebuie efectuată la nivelul fiecărei măsuri propuse în plan. </w:t>
      </w:r>
    </w:p>
    <w:p w14:paraId="0F670B69" w14:textId="180C9AE8" w:rsidR="003A1B30" w:rsidRPr="00225D91" w:rsidRDefault="00A24CA5" w:rsidP="003A1B30">
      <w:pPr>
        <w:spacing w:line="276" w:lineRule="auto"/>
        <w:jc w:val="both"/>
        <w:rPr>
          <w:rFonts w:cstheme="minorHAnsi"/>
          <w:color w:val="000000" w:themeColor="text1"/>
          <w:lang w:val="ro-RO"/>
        </w:rPr>
      </w:pPr>
      <w:r>
        <w:rPr>
          <w:color w:val="000000" w:themeColor="text1"/>
          <w:lang w:val="ro-RO"/>
        </w:rPr>
        <w:t>Astfel, pentru P</w:t>
      </w:r>
      <w:r w:rsidR="003A1B30" w:rsidRPr="00225D91">
        <w:rPr>
          <w:color w:val="000000" w:themeColor="text1"/>
          <w:lang w:val="ro-RO"/>
        </w:rPr>
        <w:t>R SV Oltenia 2021-2027 evalu</w:t>
      </w:r>
      <w:r w:rsidR="00CE3F9D" w:rsidRPr="00225D91">
        <w:rPr>
          <w:color w:val="000000" w:themeColor="text1"/>
          <w:lang w:val="ro-RO"/>
        </w:rPr>
        <w:t>a</w:t>
      </w:r>
      <w:r w:rsidR="003A1B30" w:rsidRPr="00225D91">
        <w:rPr>
          <w:color w:val="000000" w:themeColor="text1"/>
          <w:lang w:val="ro-RO"/>
        </w:rPr>
        <w:t xml:space="preserve">rea pe </w:t>
      </w:r>
      <w:r w:rsidR="003A1B30" w:rsidRPr="00225D91">
        <w:rPr>
          <w:rFonts w:cstheme="minorHAnsi"/>
          <w:color w:val="000000" w:themeColor="text1"/>
          <w:lang w:val="ro-RO"/>
        </w:rPr>
        <w:t>principiul de „a nu prejudicia în mod semnificativ” se realizează la nivelul acțiunilor indicative pentru fiecare</w:t>
      </w:r>
      <w:r w:rsidR="00CE3F9D" w:rsidRPr="00225D91">
        <w:rPr>
          <w:rFonts w:cstheme="minorHAnsi"/>
          <w:color w:val="000000" w:themeColor="text1"/>
          <w:lang w:val="ro-RO"/>
        </w:rPr>
        <w:t xml:space="preserve"> </w:t>
      </w:r>
      <w:r w:rsidR="003A1B30" w:rsidRPr="00225D91">
        <w:rPr>
          <w:rFonts w:cstheme="minorHAnsi"/>
          <w:color w:val="000000" w:themeColor="text1"/>
          <w:lang w:val="ro-RO"/>
        </w:rPr>
        <w:t xml:space="preserve">obiectiv specific selectat. </w:t>
      </w:r>
    </w:p>
    <w:p w14:paraId="7F2D676C" w14:textId="77777777" w:rsidR="003A1B30" w:rsidRPr="00225D91" w:rsidRDefault="003A1B30" w:rsidP="003A1B30">
      <w:pPr>
        <w:spacing w:line="276" w:lineRule="auto"/>
        <w:jc w:val="both"/>
        <w:rPr>
          <w:rFonts w:cstheme="minorHAnsi"/>
          <w:color w:val="000000" w:themeColor="text1"/>
          <w:lang w:val="ro-RO"/>
        </w:rPr>
      </w:pPr>
      <w:r w:rsidRPr="00225D91">
        <w:rPr>
          <w:rFonts w:cstheme="minorHAnsi"/>
          <w:color w:val="000000" w:themeColor="text1"/>
          <w:lang w:val="ro-RO"/>
        </w:rPr>
        <w:t>Acțiunile indicative au rezultat ca urmare a selectării codurilor de intervenție din Anexa 1 a RDC.</w:t>
      </w:r>
    </w:p>
    <w:p w14:paraId="0BE5A7DA"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465155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34F148FB"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789A7DE" w14:textId="77777777" w:rsidR="003A1B30" w:rsidRPr="00225D91" w:rsidRDefault="003A1B30" w:rsidP="003A1B30">
      <w:pPr>
        <w:spacing w:line="276" w:lineRule="auto"/>
        <w:jc w:val="center"/>
        <w:rPr>
          <w:rFonts w:cstheme="minorHAnsi"/>
          <w:b/>
          <w:bCs/>
          <w:color w:val="000000" w:themeColor="text1"/>
          <w:sz w:val="28"/>
          <w:szCs w:val="28"/>
          <w:lang w:val="ro-RO"/>
        </w:rPr>
      </w:pPr>
    </w:p>
    <w:p w14:paraId="66F9AB97"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338A5B0"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F38FEA4" w14:textId="77777777" w:rsidR="003A1B30" w:rsidRPr="00225D91" w:rsidRDefault="003A1B30" w:rsidP="003A1B30">
      <w:pPr>
        <w:spacing w:line="276" w:lineRule="auto"/>
        <w:jc w:val="center"/>
        <w:rPr>
          <w:rFonts w:cstheme="minorHAnsi"/>
          <w:b/>
          <w:bCs/>
          <w:color w:val="000000" w:themeColor="text1"/>
          <w:sz w:val="28"/>
          <w:szCs w:val="28"/>
          <w:lang w:val="ro-RO"/>
        </w:rPr>
      </w:pPr>
    </w:p>
    <w:p w14:paraId="488DD223"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3C36C99"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B29E1E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0CD31B8"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AF9139F" w14:textId="05D677DA" w:rsidR="003A1B30" w:rsidRPr="00225D91" w:rsidRDefault="0067277E" w:rsidP="003A1B30">
      <w:pPr>
        <w:spacing w:line="276" w:lineRule="auto"/>
        <w:jc w:val="center"/>
        <w:rPr>
          <w:rFonts w:cstheme="minorHAnsi"/>
          <w:b/>
          <w:bCs/>
          <w:color w:val="000000" w:themeColor="text1"/>
          <w:sz w:val="28"/>
          <w:szCs w:val="28"/>
          <w:lang w:val="ro-RO"/>
        </w:rPr>
      </w:pPr>
      <w:r>
        <w:rPr>
          <w:rFonts w:cstheme="minorHAnsi"/>
          <w:b/>
          <w:bCs/>
          <w:color w:val="000000" w:themeColor="text1"/>
          <w:sz w:val="28"/>
          <w:szCs w:val="28"/>
          <w:lang w:val="ro-RO"/>
        </w:rPr>
        <w:lastRenderedPageBreak/>
        <w:t>V</w:t>
      </w:r>
      <w:r w:rsidR="003A1B30" w:rsidRPr="00225D91">
        <w:rPr>
          <w:rFonts w:cstheme="minorHAnsi"/>
          <w:b/>
          <w:bCs/>
          <w:color w:val="000000" w:themeColor="text1"/>
          <w:sz w:val="28"/>
          <w:szCs w:val="28"/>
          <w:lang w:val="ro-RO"/>
        </w:rPr>
        <w:t>erificare</w:t>
      </w:r>
      <w:r>
        <w:rPr>
          <w:rFonts w:cstheme="minorHAnsi"/>
          <w:b/>
          <w:bCs/>
          <w:color w:val="000000" w:themeColor="text1"/>
          <w:sz w:val="28"/>
          <w:szCs w:val="28"/>
          <w:lang w:val="ro-RO"/>
        </w:rPr>
        <w:t xml:space="preserve"> respectare principiu</w:t>
      </w:r>
      <w:r w:rsidR="003A1B30" w:rsidRPr="00225D91">
        <w:rPr>
          <w:rFonts w:cstheme="minorHAnsi"/>
          <w:b/>
          <w:bCs/>
          <w:color w:val="000000" w:themeColor="text1"/>
          <w:sz w:val="28"/>
          <w:szCs w:val="28"/>
          <w:lang w:val="ro-RO"/>
        </w:rPr>
        <w:t xml:space="preserve"> DNSH</w:t>
      </w:r>
      <w:r>
        <w:rPr>
          <w:rFonts w:cstheme="minorHAnsi"/>
          <w:b/>
          <w:bCs/>
          <w:color w:val="000000" w:themeColor="text1"/>
          <w:sz w:val="28"/>
          <w:szCs w:val="28"/>
          <w:lang w:val="ro-RO"/>
        </w:rPr>
        <w:t xml:space="preserve"> in cadrul operatiunilor de promovare a masurilor de eficienta energetica</w:t>
      </w:r>
    </w:p>
    <w:p w14:paraId="307281F2" w14:textId="77777777" w:rsidR="003A1B30" w:rsidRPr="00225D91" w:rsidRDefault="003A1B30" w:rsidP="003A1B30">
      <w:pPr>
        <w:spacing w:line="276" w:lineRule="auto"/>
        <w:jc w:val="both"/>
        <w:rPr>
          <w:rFonts w:cstheme="minorHAnsi"/>
          <w:b/>
          <w:bCs/>
          <w:color w:val="000000" w:themeColor="text1"/>
          <w:lang w:val="ro-RO"/>
        </w:rPr>
      </w:pPr>
    </w:p>
    <w:p w14:paraId="03D409D8" w14:textId="77777777" w:rsidR="003A1B30" w:rsidRPr="00225D91" w:rsidRDefault="003A1B30" w:rsidP="003A1B30">
      <w:pPr>
        <w:pStyle w:val="NoSpacing"/>
        <w:spacing w:after="240"/>
        <w:jc w:val="both"/>
        <w:outlineLvl w:val="0"/>
        <w:rPr>
          <w:b/>
          <w:bCs/>
          <w:color w:val="000000" w:themeColor="text1"/>
          <w:sz w:val="24"/>
          <w:szCs w:val="24"/>
          <w:u w:val="single"/>
          <w:lang w:val="ro-RO"/>
        </w:rPr>
      </w:pPr>
      <w:bookmarkStart w:id="0" w:name="_Toc103595069"/>
      <w:r w:rsidRPr="00225D91">
        <w:rPr>
          <w:b/>
          <w:bCs/>
          <w:color w:val="000000" w:themeColor="text1"/>
          <w:sz w:val="24"/>
          <w:szCs w:val="24"/>
          <w:u w:val="single"/>
          <w:lang w:val="ro-RO"/>
        </w:rPr>
        <w:t>Prioritatea 3 – Eficiență energetică și infrastructură verde</w:t>
      </w:r>
      <w:bookmarkEnd w:id="0"/>
    </w:p>
    <w:p w14:paraId="788A4482" w14:textId="77777777" w:rsidR="003A1B30" w:rsidRPr="00225D91" w:rsidRDefault="003A1B30" w:rsidP="003A1B30">
      <w:pPr>
        <w:keepNext/>
        <w:spacing w:after="120" w:line="240" w:lineRule="auto"/>
        <w:ind w:left="850" w:hanging="850"/>
        <w:jc w:val="both"/>
        <w:outlineLvl w:val="2"/>
        <w:rPr>
          <w:rFonts w:eastAsia="Times New Roman" w:cstheme="minorHAnsi"/>
          <w:i/>
          <w:color w:val="000000" w:themeColor="text1"/>
          <w:lang w:val="ro-RO"/>
        </w:rPr>
      </w:pPr>
      <w:bookmarkStart w:id="1" w:name="_Toc103595070"/>
      <w:r w:rsidRPr="00225D91">
        <w:rPr>
          <w:rFonts w:eastAsia="Times New Roman" w:cstheme="minorHAnsi"/>
          <w:i/>
          <w:color w:val="000000" w:themeColor="text1"/>
          <w:lang w:val="ro-RO"/>
        </w:rPr>
        <w:t>O.S. b(i) - Promovarea măsurilor de eficiență energetică și reducerea emisiilor de gaze cu efect de seră</w:t>
      </w:r>
      <w:bookmarkEnd w:id="1"/>
      <w:r w:rsidRPr="00225D91">
        <w:rPr>
          <w:rFonts w:eastAsia="Times New Roman" w:cstheme="minorHAnsi"/>
          <w:i/>
          <w:color w:val="000000" w:themeColor="text1"/>
          <w:lang w:val="ro-RO"/>
        </w:rPr>
        <w:t xml:space="preserve"> </w:t>
      </w:r>
    </w:p>
    <w:p w14:paraId="6B733366" w14:textId="77777777" w:rsidR="003A1B30" w:rsidRPr="00225D91" w:rsidRDefault="003A1B30" w:rsidP="003A1B30">
      <w:pPr>
        <w:keepNext/>
        <w:spacing w:after="120" w:line="240" w:lineRule="auto"/>
        <w:ind w:left="850" w:hanging="850"/>
        <w:jc w:val="both"/>
        <w:outlineLvl w:val="2"/>
        <w:rPr>
          <w:rFonts w:eastAsia="Times New Roman" w:cstheme="minorHAnsi"/>
          <w:b/>
          <w:color w:val="000000" w:themeColor="text1"/>
          <w:lang w:val="ro-RO"/>
        </w:rPr>
      </w:pPr>
      <w:r w:rsidRPr="00225D91">
        <w:rPr>
          <w:rFonts w:eastAsia="Times New Roman" w:cstheme="minorHAnsi"/>
          <w:b/>
          <w:color w:val="000000" w:themeColor="text1"/>
          <w:lang w:val="ro-RO"/>
        </w:rPr>
        <w:t>Acțiunile indicative propuse sunt:</w:t>
      </w:r>
    </w:p>
    <w:p w14:paraId="3D87B9C7" w14:textId="77777777" w:rsidR="003A1B30" w:rsidRPr="00225D91" w:rsidRDefault="003A1B30" w:rsidP="007205C0">
      <w:pPr>
        <w:pStyle w:val="ListParagraph"/>
        <w:numPr>
          <w:ilvl w:val="0"/>
          <w:numId w:val="60"/>
        </w:numPr>
        <w:ind w:left="426"/>
        <w:jc w:val="both"/>
        <w:rPr>
          <w:rFonts w:cstheme="minorHAnsi"/>
          <w:bCs/>
          <w:color w:val="000000" w:themeColor="text1"/>
          <w:lang w:val="ro-RO"/>
        </w:rPr>
      </w:pPr>
      <w:r w:rsidRPr="00225D91">
        <w:rPr>
          <w:rFonts w:cstheme="minorHAnsi"/>
          <w:bCs/>
          <w:color w:val="000000" w:themeColor="text1"/>
          <w:lang w:val="ro-RO"/>
        </w:rPr>
        <w:t xml:space="preserve">Investiții în clădirile publice în vederea asigurării/creșterii eficienței energetice și măsuri pentru utilizarea unor surse regenerabile de energie; </w:t>
      </w:r>
    </w:p>
    <w:p w14:paraId="1AEEEC86" w14:textId="77777777" w:rsidR="003A1B30" w:rsidRPr="00225D91" w:rsidRDefault="003A1B30" w:rsidP="007205C0">
      <w:pPr>
        <w:pStyle w:val="ListParagraph"/>
        <w:numPr>
          <w:ilvl w:val="0"/>
          <w:numId w:val="60"/>
        </w:numPr>
        <w:ind w:left="426"/>
        <w:jc w:val="both"/>
        <w:rPr>
          <w:rFonts w:cstheme="minorHAnsi"/>
          <w:bCs/>
          <w:color w:val="000000" w:themeColor="text1"/>
          <w:lang w:val="ro-RO"/>
        </w:rPr>
      </w:pPr>
      <w:r w:rsidRPr="00225D91">
        <w:rPr>
          <w:rFonts w:cstheme="minorHAnsi"/>
          <w:bCs/>
          <w:color w:val="000000" w:themeColor="text1"/>
          <w:lang w:val="ro-RO"/>
        </w:rPr>
        <w:t>Investiții în clădirile rezidențiale în vederea asigurării/creșterii eficienței energetice.</w:t>
      </w:r>
    </w:p>
    <w:p w14:paraId="5AF4935D" w14:textId="77777777" w:rsidR="003A1B30" w:rsidRPr="00225D91" w:rsidRDefault="003A1B30" w:rsidP="003A1B30">
      <w:pPr>
        <w:pStyle w:val="ListParagraph"/>
        <w:spacing w:after="120" w:line="240" w:lineRule="auto"/>
        <w:ind w:left="1440"/>
        <w:jc w:val="both"/>
        <w:rPr>
          <w:rFonts w:cstheme="minorHAnsi"/>
          <w:b/>
          <w:bCs/>
          <w:color w:val="000000" w:themeColor="text1"/>
          <w:lang w:val="ro-RO"/>
        </w:rPr>
      </w:pPr>
    </w:p>
    <w:p w14:paraId="73C649F2" w14:textId="77777777" w:rsidR="003A1B30" w:rsidRPr="00225D91" w:rsidRDefault="003A1B30" w:rsidP="003A1B30">
      <w:pPr>
        <w:pStyle w:val="ListParagraph"/>
        <w:numPr>
          <w:ilvl w:val="0"/>
          <w:numId w:val="65"/>
        </w:numPr>
        <w:spacing w:before="240" w:after="120" w:line="240" w:lineRule="auto"/>
        <w:ind w:left="426"/>
        <w:jc w:val="both"/>
        <w:rPr>
          <w:rFonts w:eastAsia="Calibri" w:cstheme="minorHAnsi"/>
          <w:color w:val="000000" w:themeColor="text1"/>
          <w:lang w:val="ro-RO"/>
        </w:rPr>
      </w:pPr>
      <w:r w:rsidRPr="00225D91">
        <w:rPr>
          <w:rFonts w:cstheme="minorHAnsi"/>
          <w:b/>
          <w:bCs/>
          <w:color w:val="000000" w:themeColor="text1"/>
          <w:lang w:val="ro-RO"/>
        </w:rPr>
        <w:t>Investiții în clădirile publice în vederea asigurării/creșterii eficienței energetice și măsuri pentru utilizarea unor surse regenerabile de energie;</w:t>
      </w:r>
    </w:p>
    <w:p w14:paraId="190FD016" w14:textId="1D374BBE" w:rsidR="003A1B30" w:rsidRPr="00225D91" w:rsidRDefault="003A1B30" w:rsidP="003A1B30">
      <w:pPr>
        <w:spacing w:before="240" w:after="120" w:line="240" w:lineRule="auto"/>
        <w:jc w:val="both"/>
        <w:rPr>
          <w:bCs/>
          <w:color w:val="000000" w:themeColor="text1"/>
          <w:lang w:val="ro-RO"/>
        </w:rPr>
      </w:pPr>
      <w:r w:rsidRPr="00225D91">
        <w:rPr>
          <w:rFonts w:eastAsia="Calibri" w:cstheme="minorHAnsi"/>
          <w:color w:val="000000" w:themeColor="text1"/>
          <w:lang w:val="ro-RO"/>
        </w:rPr>
        <w:t xml:space="preserve">Descrierea măsurii: Această acțiune indicativă a rezultat din selectarea codului de intervenție </w:t>
      </w:r>
      <w:r w:rsidRPr="00225D91">
        <w:rPr>
          <w:rFonts w:eastAsia="Calibri" w:cstheme="minorHAnsi"/>
          <w:b/>
          <w:bCs/>
          <w:color w:val="000000" w:themeColor="text1"/>
          <w:lang w:val="ro-RO"/>
        </w:rPr>
        <w:t>045</w:t>
      </w:r>
      <w:r w:rsidRPr="00225D91">
        <w:rPr>
          <w:rFonts w:eastAsia="Calibri" w:cstheme="minorHAnsi"/>
          <w:color w:val="000000" w:themeColor="text1"/>
          <w:lang w:val="ro-RO"/>
        </w:rPr>
        <w:t xml:space="preserve"> - </w:t>
      </w:r>
      <w:r w:rsidRPr="00225D91">
        <w:rPr>
          <w:color w:val="000000" w:themeColor="text1"/>
          <w:lang w:val="ro-RO"/>
        </w:rPr>
        <w:t>Renovarea în vederea creșterii eficienței energetice sau măsuri de eficiență energetică legate de infrastructurile publice, proiecte demonstrative și măsuri de sprijin care respectă criteriile de eficiență energetică.</w:t>
      </w:r>
      <w:r w:rsidRPr="00225D91">
        <w:rPr>
          <w:b/>
          <w:bCs/>
          <w:color w:val="000000" w:themeColor="text1"/>
          <w:lang w:val="ro-RO"/>
        </w:rPr>
        <w:t xml:space="preserve"> </w:t>
      </w:r>
      <w:r w:rsidR="00460B9D" w:rsidRPr="00225D91">
        <w:rPr>
          <w:color w:val="000000" w:themeColor="text1"/>
          <w:lang w:val="ro-RO"/>
        </w:rPr>
        <w:t>Vor fi finanțate următoarele tipuri de investiții</w:t>
      </w:r>
      <w:r w:rsidRPr="00225D91">
        <w:rPr>
          <w:bCs/>
          <w:color w:val="000000" w:themeColor="text1"/>
          <w:lang w:val="ro-RO"/>
        </w:rPr>
        <w:t>:</w:t>
      </w:r>
    </w:p>
    <w:p w14:paraId="0EAEA98C" w14:textId="6680ED70" w:rsidR="003A1B30" w:rsidRPr="00225D91" w:rsidRDefault="003A1B30"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îmbunătățirea izolației termice a anvelopei clădirii (pereți exteriori, ferestre, tâmplărie, planșeu peste ultimul nivel, planșeu peste subsol), a șarpantelor și învelitoarelor, inclusiv măsuri de consolidare a clădirii și reabilitare a sistemelor de încălzire, a rețelelor și instalațiilor (cu respectarea art. 7.1, h Regulament FEDR)</w:t>
      </w:r>
      <w:r w:rsidR="00AB5F79" w:rsidRPr="00225D91">
        <w:rPr>
          <w:rFonts w:cstheme="minorHAnsi"/>
          <w:bCs/>
          <w:color w:val="000000" w:themeColor="text1"/>
          <w:lang w:val="ro-RO"/>
        </w:rPr>
        <w:t>;</w:t>
      </w:r>
    </w:p>
    <w:p w14:paraId="5DAB1342" w14:textId="7CA4326A"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s</w:t>
      </w:r>
      <w:r w:rsidR="003A1B30" w:rsidRPr="00225D91">
        <w:rPr>
          <w:rFonts w:cstheme="minorHAnsi"/>
          <w:bCs/>
          <w:color w:val="000000" w:themeColor="text1"/>
          <w:lang w:val="ro-RO"/>
        </w:rPr>
        <w:t xml:space="preserve">isteme alternative de producere a energiei electrice și/sau termice pentru consum propriu (pompe de căldură, panouri solare, panouri fotovoltaice); </w:t>
      </w:r>
    </w:p>
    <w:p w14:paraId="070EBC0C" w14:textId="6C3445FA"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s</w:t>
      </w:r>
      <w:r w:rsidR="003A1B30" w:rsidRPr="00225D91">
        <w:rPr>
          <w:rFonts w:cstheme="minorHAnsi"/>
          <w:bCs/>
          <w:color w:val="000000" w:themeColor="text1"/>
          <w:lang w:val="ro-RO"/>
        </w:rPr>
        <w:t xml:space="preserve">isteme de climatizare și/sau ventilare mecanică pentru asigurarea calității aerului interior; </w:t>
      </w:r>
    </w:p>
    <w:p w14:paraId="5B50CF81" w14:textId="7CB107D3"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l</w:t>
      </w:r>
      <w:r w:rsidR="003A1B30" w:rsidRPr="00225D91">
        <w:rPr>
          <w:rFonts w:cstheme="minorHAnsi"/>
          <w:bCs/>
          <w:color w:val="000000" w:themeColor="text1"/>
          <w:lang w:val="ro-RO"/>
        </w:rPr>
        <w:t xml:space="preserve">ucrări de reabilitare/ modernizare a instalațiilor de iluminat în clădiri; </w:t>
      </w:r>
    </w:p>
    <w:p w14:paraId="46357C14" w14:textId="2B3A18C5"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s</w:t>
      </w:r>
      <w:r w:rsidR="003A1B30" w:rsidRPr="00225D91">
        <w:rPr>
          <w:rFonts w:cstheme="minorHAnsi"/>
          <w:bCs/>
          <w:color w:val="000000" w:themeColor="text1"/>
          <w:lang w:val="ro-RO"/>
        </w:rPr>
        <w:t xml:space="preserve">isteme de management energetic integrat pentru clădiri, având ca scop îmbunătățirea eficienței energetice și monitorizarea consumurilor de energie; </w:t>
      </w:r>
    </w:p>
    <w:p w14:paraId="0CE5DA8B" w14:textId="24A7FECA"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o</w:t>
      </w:r>
      <w:r w:rsidR="003A1B30" w:rsidRPr="00225D91">
        <w:rPr>
          <w:rFonts w:cstheme="minorHAnsi"/>
          <w:bCs/>
          <w:color w:val="000000" w:themeColor="text1"/>
          <w:lang w:val="ro-RO"/>
        </w:rPr>
        <w:t xml:space="preserve">rice alte activități care conduc la îmbunătățirea performanței energetice; </w:t>
      </w:r>
    </w:p>
    <w:p w14:paraId="68FDC0B7" w14:textId="3117EDEC" w:rsidR="003A1B30" w:rsidRPr="00225D91" w:rsidRDefault="00AB5F79" w:rsidP="003A1B30">
      <w:pPr>
        <w:pStyle w:val="ListParagraph"/>
        <w:numPr>
          <w:ilvl w:val="0"/>
          <w:numId w:val="71"/>
        </w:numPr>
        <w:spacing w:after="120" w:line="240" w:lineRule="auto"/>
        <w:ind w:left="851"/>
        <w:jc w:val="both"/>
        <w:rPr>
          <w:rFonts w:cstheme="minorHAnsi"/>
          <w:bCs/>
          <w:color w:val="000000" w:themeColor="text1"/>
          <w:lang w:val="ro-RO"/>
        </w:rPr>
      </w:pPr>
      <w:r w:rsidRPr="00225D91">
        <w:rPr>
          <w:rFonts w:cstheme="minorHAnsi"/>
          <w:bCs/>
          <w:color w:val="000000" w:themeColor="text1"/>
          <w:lang w:val="ro-RO"/>
        </w:rPr>
        <w:t>m</w:t>
      </w:r>
      <w:r w:rsidR="003A1B30" w:rsidRPr="00225D91">
        <w:rPr>
          <w:rFonts w:cstheme="minorHAnsi"/>
          <w:bCs/>
          <w:color w:val="000000" w:themeColor="text1"/>
          <w:lang w:val="ro-RO"/>
        </w:rPr>
        <w:t>ăsuri conexe care contribuie la implementarea componentei care nu conduc la creșterea eficienței energetice și includ lucrări de intervenție/activități aferente investiției de bază, inclusiv măsuri de consolidare structurală în funcție de nivelul de expunere și vulnerabilitate la riscurile identificate</w:t>
      </w:r>
      <w:r w:rsidRPr="00225D91">
        <w:rPr>
          <w:rFonts w:cstheme="minorHAnsi"/>
          <w:bCs/>
          <w:color w:val="000000" w:themeColor="text1"/>
          <w:lang w:val="ro-RO"/>
        </w:rPr>
        <w:t>.</w:t>
      </w:r>
    </w:p>
    <w:p w14:paraId="69D70B7D" w14:textId="77777777" w:rsidR="003A1B30" w:rsidRPr="00225D91" w:rsidRDefault="003A1B30" w:rsidP="003A1B30">
      <w:pPr>
        <w:spacing w:after="120" w:line="240" w:lineRule="auto"/>
        <w:jc w:val="both"/>
        <w:rPr>
          <w:color w:val="000000" w:themeColor="text1"/>
          <w:lang w:val="ro-RO"/>
        </w:rPr>
      </w:pPr>
      <w:r w:rsidRPr="00225D91">
        <w:rPr>
          <w:color w:val="000000" w:themeColor="text1"/>
          <w:lang w:val="ro-RO"/>
        </w:rPr>
        <w:t>Potrivit RDC – Anexa 1, acest cod de intervenție contribuie în proporție de 100% la obiectivul privind schimbările climatice.</w:t>
      </w:r>
    </w:p>
    <w:p w14:paraId="79E0A089" w14:textId="42761C72" w:rsidR="003A1B30" w:rsidRDefault="003A1B30" w:rsidP="003A1B30">
      <w:pPr>
        <w:spacing w:before="120" w:after="120" w:line="276" w:lineRule="auto"/>
        <w:jc w:val="both"/>
        <w:rPr>
          <w:color w:val="000000" w:themeColor="text1"/>
          <w:lang w:val="ro-RO"/>
        </w:rPr>
      </w:pPr>
      <w:r w:rsidRPr="00225D91">
        <w:rPr>
          <w:color w:val="000000" w:themeColor="text1"/>
          <w:lang w:val="ro-RO"/>
        </w:rPr>
        <w:t>A fost parcursă procedur</w:t>
      </w:r>
      <w:r w:rsidR="00A24CA5">
        <w:rPr>
          <w:color w:val="000000" w:themeColor="text1"/>
          <w:lang w:val="ro-RO"/>
        </w:rPr>
        <w:t>a de evaluare adecvată pentru P</w:t>
      </w:r>
      <w:r w:rsidRPr="00225D91">
        <w:rPr>
          <w:color w:val="000000" w:themeColor="text1"/>
          <w:lang w:val="ro-RO"/>
        </w:rPr>
        <w:t xml:space="preserve">R Sud-Vest Oltenia 2021-2027 în urma căreia s-a decis că programul nu este susceptibil a avea impact negativ semnificativ asupra ariilor </w:t>
      </w:r>
      <w:r w:rsidR="00A24CA5">
        <w:rPr>
          <w:color w:val="000000" w:themeColor="text1"/>
          <w:lang w:val="ro-RO"/>
        </w:rPr>
        <w:t>naturale protejate. Pentru P</w:t>
      </w:r>
      <w:r w:rsidRPr="00225D91">
        <w:rPr>
          <w:color w:val="000000" w:themeColor="text1"/>
          <w:lang w:val="ro-RO"/>
        </w:rPr>
        <w:t>R Sud-Vest Oltenia 2021-2027 s-a finalizat în momentul de față, procedura de evaluare strategică de mediu, în conformitate cu Directiva SEA și HG 1076/ 2004, urmând emiterea Avizului de mediu. Pentru toate proiectele se vor respecta concluziile și recomandările rezultate din etapa de evaluare strategică și din Avizul de mediu.</w:t>
      </w:r>
    </w:p>
    <w:p w14:paraId="0B95B17F" w14:textId="77777777" w:rsidR="00963D7C" w:rsidRDefault="00963D7C" w:rsidP="003A1B30">
      <w:pPr>
        <w:spacing w:before="120" w:after="120" w:line="276" w:lineRule="auto"/>
        <w:jc w:val="both"/>
        <w:rPr>
          <w:color w:val="000000" w:themeColor="text1"/>
          <w:lang w:val="ro-RO"/>
        </w:rPr>
      </w:pPr>
    </w:p>
    <w:p w14:paraId="08C7071E" w14:textId="77777777" w:rsidR="00963D7C" w:rsidRPr="00225D91" w:rsidRDefault="00963D7C" w:rsidP="003A1B30">
      <w:pPr>
        <w:spacing w:before="120" w:after="120" w:line="276" w:lineRule="auto"/>
        <w:jc w:val="both"/>
        <w:rPr>
          <w:color w:val="000000" w:themeColor="text1"/>
          <w:lang w:val="ro-RO"/>
        </w:rPr>
      </w:pPr>
    </w:p>
    <w:p w14:paraId="397B97B7" w14:textId="77777777" w:rsidR="003A1B30" w:rsidRPr="00225D91" w:rsidRDefault="003A1B30" w:rsidP="003A1B30">
      <w:pPr>
        <w:spacing w:before="240"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225D91" w:rsidRPr="00225D91" w14:paraId="77052A6F" w14:textId="77777777" w:rsidTr="0071796B">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5780957" w14:textId="77777777" w:rsidR="003A1B30" w:rsidRPr="00225D91" w:rsidRDefault="003A1B30" w:rsidP="0071796B">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90B41D8" w14:textId="77777777" w:rsidR="003A1B30" w:rsidRPr="00225D91" w:rsidRDefault="003A1B30" w:rsidP="0071796B">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FE9E33F" w14:textId="77777777" w:rsidR="003A1B30" w:rsidRPr="00225D91" w:rsidRDefault="003A1B30" w:rsidP="0071796B">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ABFB165" w14:textId="77777777" w:rsidR="003A1B30" w:rsidRPr="00225D91" w:rsidRDefault="003A1B30" w:rsidP="0071796B">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225D91" w:rsidRPr="00225D91" w14:paraId="173C81C3" w14:textId="77777777" w:rsidTr="00AB5F79">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39CDC0" w14:textId="77777777" w:rsidR="003A1B30" w:rsidRPr="00225D91" w:rsidRDefault="003A1B30" w:rsidP="0071796B">
            <w:pPr>
              <w:spacing w:after="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97081A" w14:textId="77777777" w:rsidR="003A1B30" w:rsidRPr="00225D91" w:rsidRDefault="003A1B30" w:rsidP="00AB5F79">
            <w:pPr>
              <w:spacing w:after="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1EC6FA" w14:textId="77777777" w:rsidR="003A1B30" w:rsidRPr="00225D91" w:rsidRDefault="003A1B30" w:rsidP="00AB5F79">
            <w:pPr>
              <w:spacing w:after="0" w:line="240" w:lineRule="auto"/>
              <w:ind w:hanging="2"/>
              <w:jc w:val="center"/>
              <w:rPr>
                <w:rFonts w:eastAsia="Times New Roman"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C456A3" w14:textId="77777777" w:rsidR="003A1B30" w:rsidRPr="00225D91" w:rsidRDefault="003A1B30" w:rsidP="0071796B">
            <w:pPr>
              <w:spacing w:after="0" w:line="240" w:lineRule="auto"/>
              <w:ind w:hanging="2"/>
              <w:jc w:val="both"/>
              <w:rPr>
                <w:color w:val="000000" w:themeColor="text1"/>
                <w:lang w:val="ro-RO"/>
              </w:rPr>
            </w:pPr>
          </w:p>
        </w:tc>
      </w:tr>
      <w:tr w:rsidR="00225D91" w:rsidRPr="00225D91" w14:paraId="5E09EB15" w14:textId="77777777" w:rsidTr="00AB5F79">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AC174" w14:textId="77777777" w:rsidR="003A1B30" w:rsidRPr="00225D91" w:rsidRDefault="003A1B30" w:rsidP="0071796B">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EC27AD" w14:textId="77777777" w:rsidR="003A1B30" w:rsidRPr="00225D91" w:rsidRDefault="003A1B30" w:rsidP="00AB5F79">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BAFBF3" w14:textId="77777777" w:rsidR="003A1B30" w:rsidRPr="00225D91" w:rsidRDefault="003A1B30" w:rsidP="00AB5F79">
            <w:pPr>
              <w:spacing w:after="0" w:line="240"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608CE4" w14:textId="77777777" w:rsidR="003A1B30" w:rsidRPr="00225D91" w:rsidRDefault="003A1B30" w:rsidP="0071796B">
            <w:pPr>
              <w:spacing w:after="0" w:line="240" w:lineRule="auto"/>
              <w:ind w:hanging="2"/>
              <w:jc w:val="both"/>
              <w:rPr>
                <w:rFonts w:eastAsia="Arial" w:cstheme="minorHAnsi"/>
                <w:color w:val="000000" w:themeColor="text1"/>
                <w:lang w:val="ro-RO"/>
              </w:rPr>
            </w:pPr>
          </w:p>
        </w:tc>
      </w:tr>
      <w:tr w:rsidR="00225D91" w:rsidRPr="00225D91" w14:paraId="171A249E" w14:textId="77777777" w:rsidTr="00AB5F79">
        <w:trPr>
          <w:trHeight w:val="73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8C5FD1" w14:textId="77777777" w:rsidR="003A1B30" w:rsidRPr="00225D91" w:rsidRDefault="003A1B30" w:rsidP="0071796B">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44B0F0" w14:textId="7E0F54EA" w:rsidR="003A1B30" w:rsidRPr="00225D91" w:rsidRDefault="003A1B30" w:rsidP="00AB5F79">
            <w:pPr>
              <w:spacing w:after="120" w:line="240"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44C31F" w14:textId="77777777" w:rsidR="003A1B30" w:rsidRPr="00225D91" w:rsidRDefault="003A1B30" w:rsidP="00AB5F79">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E7797"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eastAsia="Arial" w:cstheme="minorHAnsi"/>
                <w:color w:val="000000" w:themeColor="text1"/>
                <w:lang w:val="ro-RO"/>
              </w:rPr>
              <w:t xml:space="preserve">Acțiunea indicativă are un </w:t>
            </w:r>
            <w:r w:rsidRPr="00225D91">
              <w:rPr>
                <w:rFonts w:cstheme="minorHAnsi"/>
                <w:color w:val="000000" w:themeColor="text1"/>
                <w:lang w:val="ro-RO"/>
              </w:rPr>
              <w:t>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435C01FA" w14:textId="77777777" w:rsidR="00AB5F79" w:rsidRPr="00225D91" w:rsidRDefault="003A1B30" w:rsidP="00AB5F79">
            <w:pPr>
              <w:spacing w:after="120" w:line="240" w:lineRule="auto"/>
              <w:jc w:val="both"/>
              <w:rPr>
                <w:rFonts w:cstheme="minorHAnsi"/>
                <w:color w:val="000000" w:themeColor="text1"/>
                <w:lang w:val="ro-RO"/>
              </w:rPr>
            </w:pPr>
            <w:r w:rsidRPr="00225D91">
              <w:rPr>
                <w:rFonts w:eastAsia="Arial" w:cstheme="minorHAnsi"/>
                <w:color w:val="000000" w:themeColor="text1"/>
                <w:lang w:val="ro-RO"/>
              </w:rPr>
              <w:t>Acțiunea nu este nocivă pentru starea bună sau pentru potențialul ecologic bun al cursurilor de apă, inclusiv al apelor de suprafață și subterane</w:t>
            </w:r>
            <w:r w:rsidRPr="00225D91">
              <w:rPr>
                <w:rFonts w:cstheme="minorHAnsi"/>
                <w:color w:val="000000" w:themeColor="text1"/>
                <w:lang w:val="ro-RO"/>
              </w:rPr>
              <w:t xml:space="preserve"> în conformitate cu cerințele Directivei-cadru privind apa (Directiva 2000/60/CE) transpusă în legislația națională prin Legea 310/2004 pentru modificarea şi completarea Legii apelor nr. 107/1996 și </w:t>
            </w:r>
            <w:r w:rsidRPr="00225D91">
              <w:rPr>
                <w:rFonts w:eastAsia="Arial" w:cstheme="minorHAnsi"/>
                <w:color w:val="000000" w:themeColor="text1"/>
                <w:lang w:val="ro-RO"/>
              </w:rPr>
              <w:t>nu duce la creșterea stresului hidric, deoarece nu presupune instalarea de dispozitive consumatoare de apă.</w:t>
            </w:r>
            <w:r w:rsidRPr="00225D91">
              <w:rPr>
                <w:rFonts w:cstheme="minorHAnsi"/>
                <w:color w:val="000000" w:themeColor="text1"/>
                <w:lang w:val="ro-RO"/>
              </w:rPr>
              <w:t xml:space="preserve"> Ca atare, este considerată conformă cu principiul DNSH pentru obiectivul relevant.</w:t>
            </w:r>
          </w:p>
          <w:p w14:paraId="32703E7E" w14:textId="38E994D9" w:rsidR="003A1B30" w:rsidRPr="00225D91" w:rsidRDefault="003A1B30" w:rsidP="00AB5F79">
            <w:pPr>
              <w:spacing w:after="120" w:line="240" w:lineRule="auto"/>
              <w:jc w:val="both"/>
              <w:rPr>
                <w:rFonts w:eastAsia="Arial" w:cstheme="minorHAnsi"/>
                <w:color w:val="000000" w:themeColor="text1"/>
                <w:lang w:val="ro-RO"/>
              </w:rPr>
            </w:pPr>
            <w:r w:rsidRPr="00225D91">
              <w:rPr>
                <w:rFonts w:cstheme="minorHAnsi"/>
                <w:color w:val="000000" w:themeColor="text1"/>
                <w:lang w:val="ro-RO"/>
              </w:rPr>
              <w:t>De asemenea, partea aplicabilă a legislației UE în materie de mediu, respectiv Directiva SEA (2001/42/CE), Directiva Păsări (2009/147/CE), Directiva Habitate (92/43/CEE), transpuse în legislația națională prin H.G 1076/ 2004 și O.U.G. nr. 57/ 2007 (cu modificările și completările ulteri</w:t>
            </w:r>
            <w:r w:rsidR="0038595A">
              <w:rPr>
                <w:rFonts w:cstheme="minorHAnsi"/>
                <w:color w:val="000000" w:themeColor="text1"/>
                <w:lang w:val="ro-RO"/>
              </w:rPr>
              <w:t>oare), a fost respectată, iar P</w:t>
            </w:r>
            <w:r w:rsidRPr="00225D91">
              <w:rPr>
                <w:rFonts w:cstheme="minorHAnsi"/>
                <w:color w:val="000000" w:themeColor="text1"/>
                <w:lang w:val="ro-RO"/>
              </w:rPr>
              <w:t>R SV Oltenia se află în proces de derulare a evaluării strategice de mediu.</w:t>
            </w:r>
          </w:p>
        </w:tc>
      </w:tr>
      <w:tr w:rsidR="00225D91" w:rsidRPr="00225D91" w14:paraId="0BF8DA90" w14:textId="77777777" w:rsidTr="00AB5F79">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B87C1" w14:textId="77777777" w:rsidR="003A1B30" w:rsidRPr="00225D91" w:rsidRDefault="003A1B30" w:rsidP="0071796B">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93E675" w14:textId="347B2F99" w:rsidR="003A1B30" w:rsidRPr="00225D91" w:rsidRDefault="003A1B30" w:rsidP="00AB5F79">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FCED32" w14:textId="77777777" w:rsidR="003A1B30" w:rsidRPr="00225D91" w:rsidRDefault="003A1B30" w:rsidP="00AB5F79">
            <w:pPr>
              <w:spacing w:after="0" w:line="240"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47713" w14:textId="77777777" w:rsidR="003A1B30" w:rsidRPr="00225D91" w:rsidRDefault="003A1B30" w:rsidP="0071796B">
            <w:pPr>
              <w:spacing w:after="0" w:line="240" w:lineRule="auto"/>
              <w:ind w:hanging="2"/>
              <w:jc w:val="both"/>
              <w:rPr>
                <w:rFonts w:eastAsia="Arial" w:cstheme="minorHAnsi"/>
                <w:color w:val="000000" w:themeColor="text1"/>
                <w:lang w:val="ro-RO"/>
              </w:rPr>
            </w:pPr>
          </w:p>
        </w:tc>
      </w:tr>
      <w:tr w:rsidR="00225D91" w:rsidRPr="00225D91" w14:paraId="3048ADDB" w14:textId="77777777" w:rsidTr="00AB5F79">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E584CD" w14:textId="77777777" w:rsidR="003A1B30" w:rsidRPr="00225D91" w:rsidRDefault="003A1B30" w:rsidP="0071796B">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24990B" w14:textId="74DDD792" w:rsidR="003A1B30" w:rsidRPr="00225D91" w:rsidRDefault="003A1B30" w:rsidP="00AB5F79">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101C68" w14:textId="77777777" w:rsidR="003A1B30" w:rsidRPr="00225D91" w:rsidRDefault="003A1B30" w:rsidP="00AB5F79">
            <w:pPr>
              <w:spacing w:after="0" w:line="240"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1E7A5A" w14:textId="77777777" w:rsidR="003A1B30" w:rsidRPr="00225D91" w:rsidRDefault="003A1B30" w:rsidP="0071796B">
            <w:pPr>
              <w:spacing w:after="0" w:line="240" w:lineRule="auto"/>
              <w:ind w:hanging="2"/>
              <w:jc w:val="both"/>
              <w:rPr>
                <w:rFonts w:eastAsia="Arial" w:cstheme="minorHAnsi"/>
                <w:color w:val="000000" w:themeColor="text1"/>
                <w:lang w:val="ro-RO"/>
              </w:rPr>
            </w:pPr>
          </w:p>
        </w:tc>
      </w:tr>
      <w:tr w:rsidR="003A1B30" w:rsidRPr="00225D91" w14:paraId="49C91897" w14:textId="77777777" w:rsidTr="00AB5F79">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27842" w14:textId="77777777" w:rsidR="003A1B30" w:rsidRPr="00225D91" w:rsidRDefault="003A1B30" w:rsidP="0071796B">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0C63AD" w14:textId="7DA3F7D1" w:rsidR="003A1B30" w:rsidRPr="00225D91" w:rsidRDefault="003A1B30" w:rsidP="00AB5F79">
            <w:pPr>
              <w:spacing w:after="120" w:line="240"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58CCAC" w14:textId="77777777" w:rsidR="003A1B30" w:rsidRPr="00225D91" w:rsidRDefault="003A1B30" w:rsidP="00AB5F79">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B0C0BE" w14:textId="77777777" w:rsidR="003A1B30" w:rsidRPr="00225D91" w:rsidRDefault="003A1B30" w:rsidP="0071796B">
            <w:pPr>
              <w:spacing w:after="120" w:line="240" w:lineRule="auto"/>
              <w:ind w:hanging="2"/>
              <w:jc w:val="both"/>
              <w:rPr>
                <w:color w:val="000000" w:themeColor="text1"/>
                <w:shd w:val="clear" w:color="auto" w:fill="FFFFFF"/>
                <w:lang w:val="ro-RO"/>
              </w:rPr>
            </w:pPr>
            <w:r w:rsidRPr="00225D91">
              <w:rPr>
                <w:rFonts w:eastAsia="Arial" w:cstheme="minorHAnsi"/>
                <w:color w:val="000000" w:themeColor="text1"/>
                <w:lang w:val="ro-RO"/>
              </w:rPr>
              <w:t xml:space="preserve">Acțiunea indicativă are un impact previzibil nesemnificativ asupra acestui obiectiv de mediu, ținând seama de efectele directe și indirecte primare pe întreaga durată a ciclului de viață. </w:t>
            </w:r>
            <w:r w:rsidRPr="00225D91">
              <w:rPr>
                <w:rFonts w:cstheme="minorHAnsi"/>
                <w:color w:val="000000" w:themeColor="text1"/>
                <w:lang w:val="ro-RO"/>
              </w:rPr>
              <w:t>Investițiile efectuate în vederea îmbunătățirii eficienței energetice și măsurile pentru utilizarea surselor alternative de energie</w:t>
            </w:r>
            <w:r w:rsidRPr="00225D91">
              <w:rPr>
                <w:rFonts w:cstheme="minorHAnsi"/>
                <w:i/>
                <w:iCs/>
                <w:color w:val="000000" w:themeColor="text1"/>
                <w:lang w:val="ro-RO"/>
              </w:rPr>
              <w:t xml:space="preserve"> </w:t>
            </w:r>
            <w:r w:rsidRPr="00225D91">
              <w:rPr>
                <w:rFonts w:eastAsia="Arial" w:cstheme="minorHAnsi"/>
                <w:color w:val="000000" w:themeColor="text1"/>
                <w:lang w:val="ro-RO"/>
              </w:rPr>
              <w:t xml:space="preserve">nu prezintă </w:t>
            </w:r>
            <w:r w:rsidRPr="00225D91">
              <w:rPr>
                <w:rFonts w:cstheme="minorHAnsi"/>
                <w:color w:val="000000" w:themeColor="text1"/>
                <w:lang w:val="ro-RO"/>
              </w:rPr>
              <w:t xml:space="preserve">potențial impact negativ asupra speciilor și habitatelor prezente în siturile Natura 2000, în conformitate cu O.U.G nr. 57/ 2007 (cu modificările și completările ulterioare), care compatibilizează legislația </w:t>
            </w:r>
            <w:r w:rsidRPr="00225D91">
              <w:rPr>
                <w:color w:val="000000" w:themeColor="text1"/>
                <w:shd w:val="clear" w:color="auto" w:fill="FFFFFF"/>
                <w:lang w:val="ro-RO"/>
              </w:rPr>
              <w:t xml:space="preserve">națională cu cea a Uniunii Europene în domeniul protecției naturii și ținând cont de faptul că prevederile Directivei </w:t>
            </w:r>
            <w:r w:rsidRPr="00225D91">
              <w:rPr>
                <w:rFonts w:cstheme="minorHAnsi"/>
                <w:color w:val="000000" w:themeColor="text1"/>
                <w:lang w:val="ro-RO"/>
              </w:rPr>
              <w:t>2009/147/CE</w:t>
            </w:r>
            <w:r w:rsidRPr="00225D91">
              <w:rPr>
                <w:color w:val="000000" w:themeColor="text1"/>
                <w:shd w:val="clear" w:color="auto" w:fill="FFFFFF"/>
                <w:lang w:val="ro-RO"/>
              </w:rPr>
              <w:t xml:space="preserve"> privind conservarea păsărilor sălbatice și ale Directivei 92/43/CEE privind conservarea habitatelor naturale și a speciilor de floră și faună sălbatice sau în siturile înscrise pe Lista patrimoniului mondial UNESCO. </w:t>
            </w:r>
          </w:p>
          <w:p w14:paraId="56DF2631" w14:textId="02F319BC" w:rsidR="003A1B30" w:rsidRPr="00225D91" w:rsidRDefault="00AC2879" w:rsidP="0071796B">
            <w:pPr>
              <w:spacing w:after="120" w:line="240" w:lineRule="auto"/>
              <w:ind w:hanging="2"/>
              <w:jc w:val="both"/>
              <w:rPr>
                <w:rFonts w:eastAsia="Arial" w:cstheme="minorHAnsi"/>
                <w:color w:val="000000" w:themeColor="text1"/>
                <w:lang w:val="ro-RO"/>
              </w:rPr>
            </w:pPr>
            <w:r>
              <w:rPr>
                <w:color w:val="000000" w:themeColor="text1"/>
                <w:shd w:val="clear" w:color="auto" w:fill="FFFFFF"/>
                <w:lang w:val="ro-RO"/>
              </w:rPr>
              <w:t>De asemenea, P</w:t>
            </w:r>
            <w:r w:rsidR="003A1B30" w:rsidRPr="00225D91">
              <w:rPr>
                <w:color w:val="000000" w:themeColor="text1"/>
                <w:shd w:val="clear" w:color="auto" w:fill="FFFFFF"/>
                <w:lang w:val="ro-RO"/>
              </w:rPr>
              <w:t xml:space="preserve">R Sud-Vest Oltenia 2021-2027 a fost supus procedurii de evaluare adecvată potrivit căreia această acțiune nu face obiectul unei astfel de evaluări. </w:t>
            </w:r>
          </w:p>
        </w:tc>
      </w:tr>
    </w:tbl>
    <w:p w14:paraId="42C13D2F" w14:textId="77777777" w:rsidR="003A1B30" w:rsidRPr="00225D91" w:rsidRDefault="003A1B30" w:rsidP="003A1B30">
      <w:pPr>
        <w:spacing w:after="120" w:line="240" w:lineRule="auto"/>
        <w:ind w:left="48"/>
        <w:jc w:val="both"/>
        <w:rPr>
          <w:rFonts w:eastAsia="Arial" w:cs="Times New Roman"/>
          <w:b/>
          <w:color w:val="000000" w:themeColor="text1"/>
          <w:lang w:val="ro-RO"/>
        </w:rPr>
      </w:pPr>
    </w:p>
    <w:p w14:paraId="0A55163C" w14:textId="77777777" w:rsidR="003A1B30" w:rsidRPr="00225D91" w:rsidRDefault="003A1B30" w:rsidP="003A1B30">
      <w:pPr>
        <w:spacing w:after="120" w:line="240" w:lineRule="auto"/>
        <w:ind w:left="48"/>
        <w:jc w:val="both"/>
        <w:rPr>
          <w:rFonts w:eastAsia="Arial" w:cs="Times New Roman"/>
          <w:b/>
          <w:color w:val="000000" w:themeColor="text1"/>
          <w:lang w:val="ro-RO"/>
        </w:rPr>
      </w:pPr>
      <w:r w:rsidRPr="00225D91">
        <w:rPr>
          <w:rFonts w:eastAsia="Arial" w:cs="Times New Roman"/>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225D91" w:rsidRPr="00225D91" w14:paraId="4A5B32B3" w14:textId="77777777" w:rsidTr="0071796B">
        <w:trPr>
          <w:tblHeader/>
        </w:trPr>
        <w:tc>
          <w:tcPr>
            <w:tcW w:w="2405" w:type="dxa"/>
            <w:shd w:val="clear" w:color="auto" w:fill="D9D9D9"/>
            <w:tcMar>
              <w:top w:w="100" w:type="dxa"/>
              <w:left w:w="100" w:type="dxa"/>
              <w:bottom w:w="100" w:type="dxa"/>
              <w:right w:w="100" w:type="dxa"/>
            </w:tcMar>
          </w:tcPr>
          <w:p w14:paraId="7D42AD52" w14:textId="77777777" w:rsidR="003A1B30" w:rsidRPr="00225D91" w:rsidRDefault="003A1B30" w:rsidP="0071796B">
            <w:pPr>
              <w:spacing w:after="120" w:line="240" w:lineRule="auto"/>
              <w:ind w:hanging="2"/>
              <w:jc w:val="both"/>
              <w:rPr>
                <w:rFonts w:eastAsia="Times New Roman" w:cs="Times New Roman"/>
                <w:color w:val="000000" w:themeColor="text1"/>
                <w:lang w:val="ro-RO"/>
              </w:rPr>
            </w:pPr>
            <w:r w:rsidRPr="00225D91">
              <w:rPr>
                <w:rFonts w:eastAsia="Arial" w:cs="Times New Roman"/>
                <w:b/>
                <w:color w:val="000000" w:themeColor="text1"/>
                <w:lang w:val="ro-RO"/>
              </w:rPr>
              <w:t>Întrebări</w:t>
            </w:r>
          </w:p>
        </w:tc>
        <w:tc>
          <w:tcPr>
            <w:tcW w:w="567" w:type="dxa"/>
            <w:shd w:val="clear" w:color="auto" w:fill="D9D9D9"/>
            <w:tcMar>
              <w:top w:w="100" w:type="dxa"/>
              <w:left w:w="100" w:type="dxa"/>
              <w:bottom w:w="100" w:type="dxa"/>
              <w:right w:w="100" w:type="dxa"/>
            </w:tcMar>
          </w:tcPr>
          <w:p w14:paraId="02002578" w14:textId="77777777" w:rsidR="003A1B30" w:rsidRPr="00225D91" w:rsidRDefault="003A1B30" w:rsidP="0071796B">
            <w:pPr>
              <w:spacing w:after="120" w:line="240" w:lineRule="auto"/>
              <w:ind w:hanging="2"/>
              <w:jc w:val="both"/>
              <w:rPr>
                <w:rFonts w:eastAsia="Times New Roman" w:cs="Times New Roman"/>
                <w:color w:val="000000" w:themeColor="text1"/>
                <w:lang w:val="ro-RO"/>
              </w:rPr>
            </w:pPr>
            <w:r w:rsidRPr="00225D91">
              <w:rPr>
                <w:rFonts w:eastAsia="Arial" w:cs="Times New Roman"/>
                <w:b/>
                <w:color w:val="000000" w:themeColor="text1"/>
                <w:lang w:val="ro-RO"/>
              </w:rPr>
              <w:t>Nu</w:t>
            </w:r>
          </w:p>
        </w:tc>
        <w:tc>
          <w:tcPr>
            <w:tcW w:w="6379" w:type="dxa"/>
            <w:shd w:val="clear" w:color="auto" w:fill="D9D9D9"/>
            <w:tcMar>
              <w:top w:w="100" w:type="dxa"/>
              <w:left w:w="100" w:type="dxa"/>
              <w:bottom w:w="100" w:type="dxa"/>
              <w:right w:w="100" w:type="dxa"/>
            </w:tcMar>
          </w:tcPr>
          <w:p w14:paraId="5AAA17AD" w14:textId="77777777" w:rsidR="003A1B30" w:rsidRPr="00225D91" w:rsidRDefault="003A1B30" w:rsidP="0071796B">
            <w:pPr>
              <w:spacing w:after="120" w:line="240" w:lineRule="auto"/>
              <w:ind w:hanging="2"/>
              <w:jc w:val="both"/>
              <w:rPr>
                <w:rFonts w:eastAsia="Times New Roman" w:cs="Times New Roman"/>
                <w:color w:val="000000" w:themeColor="text1"/>
                <w:lang w:val="ro-RO"/>
              </w:rPr>
            </w:pPr>
            <w:r w:rsidRPr="00225D91">
              <w:rPr>
                <w:rFonts w:eastAsia="Arial" w:cs="Times New Roman"/>
                <w:b/>
                <w:color w:val="000000" w:themeColor="text1"/>
                <w:lang w:val="ro-RO"/>
              </w:rPr>
              <w:t>Justificare de fond</w:t>
            </w:r>
          </w:p>
        </w:tc>
      </w:tr>
      <w:tr w:rsidR="00225D91" w:rsidRPr="00225D91" w14:paraId="027C2B78" w14:textId="77777777" w:rsidTr="0071796B">
        <w:tc>
          <w:tcPr>
            <w:tcW w:w="2405" w:type="dxa"/>
            <w:shd w:val="clear" w:color="auto" w:fill="auto"/>
            <w:tcMar>
              <w:top w:w="100" w:type="dxa"/>
              <w:left w:w="100" w:type="dxa"/>
              <w:bottom w:w="100" w:type="dxa"/>
              <w:right w:w="100" w:type="dxa"/>
            </w:tcMar>
          </w:tcPr>
          <w:p w14:paraId="27B4C842" w14:textId="77777777" w:rsidR="003A1B30" w:rsidRPr="00225D91" w:rsidRDefault="003A1B30" w:rsidP="0071796B">
            <w:pPr>
              <w:spacing w:after="120" w:line="240" w:lineRule="auto"/>
              <w:ind w:hanging="2"/>
              <w:jc w:val="both"/>
              <w:rPr>
                <w:rFonts w:eastAsia="Arial" w:cs="Times New Roman"/>
                <w:color w:val="000000" w:themeColor="text1"/>
                <w:lang w:val="ro-RO"/>
              </w:rPr>
            </w:pPr>
            <w:r w:rsidRPr="00225D91">
              <w:rPr>
                <w:rFonts w:eastAsia="Arial" w:cs="Times New Roman"/>
                <w:i/>
                <w:color w:val="000000" w:themeColor="text1"/>
                <w:lang w:val="ro-RO"/>
              </w:rPr>
              <w:t>Atenuarea schimbărilor climatice</w:t>
            </w:r>
            <w:r w:rsidRPr="00225D91">
              <w:rPr>
                <w:rFonts w:eastAsia="Arial" w:cs="Times New Roman"/>
                <w:color w:val="000000" w:themeColor="text1"/>
                <w:lang w:val="ro-RO"/>
              </w:rPr>
              <w:t>:</w:t>
            </w:r>
          </w:p>
          <w:p w14:paraId="5D734D8A" w14:textId="77777777" w:rsidR="003A1B30" w:rsidRPr="00225D91" w:rsidRDefault="003A1B30" w:rsidP="0071796B">
            <w:pPr>
              <w:numPr>
                <w:ilvl w:val="0"/>
                <w:numId w:val="3"/>
              </w:numPr>
              <w:spacing w:after="120" w:line="240" w:lineRule="auto"/>
              <w:contextualSpacing/>
              <w:jc w:val="both"/>
              <w:rPr>
                <w:rFonts w:eastAsia="Arial" w:cs="Times New Roman"/>
                <w:color w:val="000000" w:themeColor="text1"/>
                <w:lang w:val="ro-RO"/>
              </w:rPr>
            </w:pPr>
            <w:r w:rsidRPr="00225D91">
              <w:rPr>
                <w:rFonts w:eastAsia="Arial" w:cs="Times New Roman"/>
                <w:color w:val="000000" w:themeColor="text1"/>
                <w:lang w:val="ro-RO"/>
              </w:rPr>
              <w:t>Se așteaptă ca măsura să conducă la emisii semnificative de GES?</w:t>
            </w:r>
          </w:p>
        </w:tc>
        <w:tc>
          <w:tcPr>
            <w:tcW w:w="567" w:type="dxa"/>
            <w:shd w:val="clear" w:color="auto" w:fill="auto"/>
            <w:tcMar>
              <w:top w:w="100" w:type="dxa"/>
              <w:left w:w="100" w:type="dxa"/>
              <w:bottom w:w="100" w:type="dxa"/>
              <w:right w:w="100" w:type="dxa"/>
            </w:tcMar>
          </w:tcPr>
          <w:p w14:paraId="2B727E80" w14:textId="77777777" w:rsidR="003A1B30" w:rsidRPr="00225D91" w:rsidRDefault="003A1B30" w:rsidP="0071796B">
            <w:pPr>
              <w:spacing w:after="120" w:line="240" w:lineRule="auto"/>
              <w:ind w:hanging="2"/>
              <w:jc w:val="both"/>
              <w:rPr>
                <w:rFonts w:eastAsia="Arial" w:cs="Times New Roman"/>
                <w:color w:val="000000" w:themeColor="text1"/>
                <w:lang w:val="ro-RO"/>
              </w:rPr>
            </w:pPr>
            <w:r w:rsidRPr="00225D91">
              <w:rPr>
                <w:rFonts w:eastAsia="Arial" w:cs="Times New Roman"/>
                <w:color w:val="000000" w:themeColor="text1"/>
                <w:lang w:val="ro-RO"/>
              </w:rPr>
              <w:t>x</w:t>
            </w:r>
          </w:p>
        </w:tc>
        <w:tc>
          <w:tcPr>
            <w:tcW w:w="6379" w:type="dxa"/>
            <w:shd w:val="clear" w:color="auto" w:fill="auto"/>
            <w:tcMar>
              <w:top w:w="100" w:type="dxa"/>
              <w:left w:w="100" w:type="dxa"/>
              <w:bottom w:w="100" w:type="dxa"/>
              <w:right w:w="100" w:type="dxa"/>
            </w:tcMar>
          </w:tcPr>
          <w:p w14:paraId="626BC665"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propusă nu conduce la emisii semnificative de GES.</w:t>
            </w:r>
          </w:p>
          <w:p w14:paraId="5BA6FEFC" w14:textId="2527C8D7" w:rsidR="003A1B30" w:rsidRPr="00225D91" w:rsidRDefault="002846EC" w:rsidP="0071796B">
            <w:pPr>
              <w:spacing w:after="120" w:line="240" w:lineRule="auto"/>
              <w:jc w:val="both"/>
              <w:rPr>
                <w:rFonts w:eastAsia="Arial" w:cs="Times New Roman"/>
                <w:color w:val="000000" w:themeColor="text1"/>
                <w:lang w:val="ro-RO"/>
              </w:rPr>
            </w:pPr>
            <w:r w:rsidRPr="00225D91">
              <w:rPr>
                <w:rFonts w:cstheme="minorHAnsi"/>
                <w:color w:val="000000" w:themeColor="text1"/>
                <w:lang w:val="ro-RO"/>
              </w:rPr>
              <w:t>Conform Raportului IPCC 2021 (AR 6) – Schimbările climatice 2021, concentrațiile de CO</w:t>
            </w:r>
            <w:r w:rsidRPr="00225D91">
              <w:rPr>
                <w:rFonts w:cstheme="minorHAnsi"/>
                <w:color w:val="000000" w:themeColor="text1"/>
                <w:vertAlign w:val="subscript"/>
                <w:lang w:val="ro-RO"/>
              </w:rPr>
              <w:t>2</w:t>
            </w:r>
            <w:r w:rsidRPr="00225D91">
              <w:rPr>
                <w:rFonts w:cstheme="minorHAnsi"/>
                <w:color w:val="000000" w:themeColor="text1"/>
                <w:lang w:val="ro-RO"/>
              </w:rPr>
              <w:t>, CH</w:t>
            </w:r>
            <w:r w:rsidRPr="00225D91">
              <w:rPr>
                <w:rFonts w:cstheme="minorHAnsi"/>
                <w:color w:val="000000" w:themeColor="text1"/>
                <w:vertAlign w:val="subscript"/>
                <w:lang w:val="ro-RO"/>
              </w:rPr>
              <w:t>4</w:t>
            </w:r>
            <w:r w:rsidRPr="00225D91">
              <w:rPr>
                <w:rFonts w:cstheme="minorHAnsi"/>
                <w:color w:val="000000" w:themeColor="text1"/>
                <w:lang w:val="ro-RO"/>
              </w:rPr>
              <w:t xml:space="preserve"> și N</w:t>
            </w:r>
            <w:r w:rsidRPr="00225D91">
              <w:rPr>
                <w:rFonts w:cstheme="minorHAnsi"/>
                <w:color w:val="000000" w:themeColor="text1"/>
                <w:vertAlign w:val="subscript"/>
                <w:lang w:val="ro-RO"/>
              </w:rPr>
              <w:t>2</w:t>
            </w:r>
            <w:r w:rsidRPr="00225D91">
              <w:rPr>
                <w:rFonts w:cstheme="minorHAnsi"/>
                <w:color w:val="000000" w:themeColor="text1"/>
                <w:lang w:val="ro-RO"/>
              </w:rPr>
              <w:t xml:space="preserve">O au crescut din 1750 până în 2019 cu 131,6 ± 2,9 ppm (47,3%), 1137 ± 10 ppb (156%) și, respectiv, 62 ± 6 ppb (23,0%). </w:t>
            </w:r>
            <w:r w:rsidR="003A1B30" w:rsidRPr="00225D91">
              <w:rPr>
                <w:rFonts w:cstheme="minorHAnsi"/>
                <w:color w:val="000000" w:themeColor="text1"/>
                <w:lang w:val="ro-RO"/>
              </w:rPr>
              <w:t>Conform Comunicării CE COM(2020) 662 final, clădirile, din toate sectoarele din Uniune considerate împreună, sunt responsabile pentru 40% din consumul de energie și 36% din emisiile de gaze cu efect de seră legate de energie. Astfel, investițiile efectuate în vederea îmbunătățirii eficienței energetice și măsurile pentru utilizarea surselor alternative de energie</w:t>
            </w:r>
            <w:r w:rsidR="003A1B30" w:rsidRPr="00225D91">
              <w:rPr>
                <w:rFonts w:eastAsia="Arial" w:cs="Times New Roman"/>
                <w:color w:val="000000" w:themeColor="text1"/>
                <w:lang w:val="ro-RO"/>
              </w:rPr>
              <w:t xml:space="preserve"> a clădirilor existente au o influență global pozitivă asupra obiectivelor de mediu, fiind în conformitate totală cu DNSH pentru obiectivul de atenuare a schimbărilor climatice, conducând la reducerea semnificativă a emisiilor de gaze cu efect de seră (GES). </w:t>
            </w:r>
          </w:p>
          <w:p w14:paraId="3090F1C6" w14:textId="465AE03C"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Investițiile propuse pentru reducerea GES:</w:t>
            </w:r>
            <w:r w:rsidRPr="00225D91">
              <w:rPr>
                <w:rFonts w:eastAsia="Calibri" w:cstheme="minorHAnsi"/>
                <w:color w:val="000000" w:themeColor="text1"/>
                <w:lang w:val="ro-RO"/>
              </w:rPr>
              <w:t xml:space="preserve"> vor finanța atât </w:t>
            </w:r>
            <w:r w:rsidRPr="00225D91">
              <w:rPr>
                <w:rFonts w:eastAsia="Calibri" w:cstheme="minorHAnsi"/>
                <w:i/>
                <w:color w:val="000000" w:themeColor="text1"/>
                <w:lang w:val="ro-RO"/>
              </w:rPr>
              <w:t>pachetul mediu de renovare</w:t>
            </w:r>
            <w:r w:rsidRPr="00225D91">
              <w:rPr>
                <w:rFonts w:eastAsia="Calibri" w:cstheme="minorHAnsi"/>
                <w:color w:val="000000" w:themeColor="text1"/>
                <w:lang w:val="ro-RO"/>
              </w:rPr>
              <w:t xml:space="preserve">, pentru a răspunde cerințelor viitoare NZEB, cu o utilizare minimă a soluțiilor de energie din surse regenerabile, cât și </w:t>
            </w:r>
            <w:r w:rsidRPr="00225D91">
              <w:rPr>
                <w:rFonts w:eastAsia="Calibri" w:cstheme="minorHAnsi"/>
                <w:i/>
                <w:color w:val="000000" w:themeColor="text1"/>
                <w:lang w:val="ro-RO"/>
              </w:rPr>
              <w:t>pachetul maximal de renovare</w:t>
            </w:r>
            <w:r w:rsidRPr="00225D91">
              <w:rPr>
                <w:rFonts w:eastAsia="Calibri" w:cstheme="minorHAnsi"/>
                <w:color w:val="000000" w:themeColor="text1"/>
                <w:lang w:val="ro-RO"/>
              </w:rPr>
              <w:t xml:space="preserve"> - standard de renovare aprofundată sau NZEB, inclusiv toate opțiunile privind energia din surse regenerabile, cum ar fi panouri fotovoltaice pe acoperiș, prepararea apei calde menajere cu ajutorul energiei solare sau pompe de căldură geotermale. </w:t>
            </w:r>
            <w:r w:rsidRPr="00225D91">
              <w:rPr>
                <w:rFonts w:cstheme="minorHAnsi"/>
                <w:color w:val="000000" w:themeColor="text1"/>
                <w:szCs w:val="24"/>
                <w:shd w:val="clear" w:color="auto" w:fill="FFFFFF"/>
                <w:lang w:val="ro-RO"/>
              </w:rPr>
              <w:t xml:space="preserve">Pot fi incluse </w:t>
            </w:r>
            <w:r w:rsidR="00521DBC" w:rsidRPr="00225D91">
              <w:rPr>
                <w:rFonts w:cstheme="minorHAnsi"/>
                <w:bCs/>
                <w:color w:val="000000" w:themeColor="text1"/>
                <w:lang w:val="ro-RO"/>
              </w:rPr>
              <w:t xml:space="preserve">și </w:t>
            </w:r>
            <w:r w:rsidRPr="00225D91">
              <w:rPr>
                <w:rFonts w:cstheme="minorHAnsi"/>
                <w:color w:val="000000" w:themeColor="text1"/>
                <w:szCs w:val="24"/>
                <w:shd w:val="clear" w:color="auto" w:fill="FFFFFF"/>
                <w:lang w:val="ro-RO"/>
              </w:rPr>
              <w:t>masuri complementare conform SRTL</w:t>
            </w:r>
            <w:r w:rsidRPr="00225D91">
              <w:rPr>
                <w:rFonts w:eastAsia="Arial" w:cstheme="minorHAnsi"/>
                <w:color w:val="000000" w:themeColor="text1"/>
                <w:lang w:val="ro-RO"/>
              </w:rPr>
              <w:t xml:space="preserve">. </w:t>
            </w:r>
          </w:p>
          <w:p w14:paraId="439805CE"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color w:val="000000" w:themeColor="text1"/>
                <w:lang w:val="ro-RO"/>
              </w:rPr>
              <w:t>Investițiile vor contribui la obiectivul național de creștere a eficienței energetice pe an, stabilit în conformitate cu Directiva privind eficiența energetică (2012/27/UE), transpusă în legislația națională prin Legea 121/2014, contribuind astfel la atingerea obiectivului de reducere</w:t>
            </w:r>
            <w:r w:rsidRPr="00225D91">
              <w:rPr>
                <w:rStyle w:val="jlqj4b"/>
                <w:color w:val="000000" w:themeColor="text1"/>
                <w:lang w:val="ro-RO"/>
              </w:rPr>
              <w:t xml:space="preserve"> netă</w:t>
            </w:r>
            <w:r w:rsidRPr="00225D91">
              <w:rPr>
                <w:color w:val="000000" w:themeColor="text1"/>
                <w:lang w:val="ro-RO"/>
              </w:rPr>
              <w:t xml:space="preserve"> cu cel puțin 55% a emisiilor de gaze cu efect de seră până în 2030, comparativ cu 1990 în baza Acordului de la Paris privind schimbările climatice.</w:t>
            </w:r>
            <w:r w:rsidRPr="00225D91">
              <w:rPr>
                <w:rStyle w:val="CommentReference"/>
                <w:color w:val="000000" w:themeColor="text1"/>
                <w:lang w:val="ro-RO"/>
              </w:rPr>
              <w:t xml:space="preserve"> </w:t>
            </w:r>
          </w:p>
          <w:p w14:paraId="3A23979D" w14:textId="2BADF96A" w:rsidR="003A1B30" w:rsidRPr="00225D91" w:rsidRDefault="003A1B30" w:rsidP="0071796B">
            <w:pPr>
              <w:spacing w:after="120" w:line="240" w:lineRule="auto"/>
              <w:ind w:hanging="2"/>
              <w:jc w:val="both"/>
              <w:rPr>
                <w:color w:val="000000" w:themeColor="text1"/>
                <w:lang w:val="ro-RO"/>
              </w:rPr>
            </w:pPr>
            <w:r w:rsidRPr="00225D91">
              <w:rPr>
                <w:iCs/>
                <w:color w:val="000000" w:themeColor="text1"/>
                <w:lang w:val="ro-RO"/>
              </w:rPr>
              <w:t>Codul de intervenție select</w:t>
            </w:r>
            <w:r w:rsidR="00101F10">
              <w:rPr>
                <w:iCs/>
                <w:color w:val="000000" w:themeColor="text1"/>
                <w:lang w:val="ro-RO"/>
              </w:rPr>
              <w:t>at în P</w:t>
            </w:r>
            <w:r w:rsidRPr="00225D91">
              <w:rPr>
                <w:iCs/>
                <w:color w:val="000000" w:themeColor="text1"/>
                <w:lang w:val="ro-RO"/>
              </w:rPr>
              <w:t xml:space="preserve">R SV Oltenia, care vizează această acțiune, contribuie în proporție de 40% la </w:t>
            </w:r>
            <w:r w:rsidRPr="00225D91">
              <w:rPr>
                <w:color w:val="000000" w:themeColor="text1"/>
                <w:lang w:val="ro-RO"/>
              </w:rPr>
              <w:t>obiectivul privind schimbările climatice, așa cum se specifică în Anexa 1 a RDC. Astfel, măsura contribuie în mod substanţial la acest obiectiv de mediu, în conformitate cu Regulamentul privind taxonomia, fiind, astfel, considerată conformă cu principiul DNSH.</w:t>
            </w:r>
          </w:p>
        </w:tc>
      </w:tr>
      <w:tr w:rsidR="00225D91" w:rsidRPr="00225D91" w14:paraId="6AE3D482" w14:textId="77777777" w:rsidTr="00D145C0">
        <w:tc>
          <w:tcPr>
            <w:tcW w:w="2405" w:type="dxa"/>
            <w:shd w:val="clear" w:color="auto" w:fill="auto"/>
            <w:tcMar>
              <w:top w:w="100" w:type="dxa"/>
              <w:left w:w="100" w:type="dxa"/>
              <w:bottom w:w="100" w:type="dxa"/>
              <w:right w:w="100" w:type="dxa"/>
            </w:tcMar>
          </w:tcPr>
          <w:p w14:paraId="709C4E5E" w14:textId="77777777" w:rsidR="003A1B30" w:rsidRPr="00225D91" w:rsidRDefault="003A1B30" w:rsidP="0071796B">
            <w:pPr>
              <w:spacing w:after="120" w:line="240" w:lineRule="auto"/>
              <w:ind w:hanging="2"/>
              <w:jc w:val="both"/>
              <w:rPr>
                <w:color w:val="000000" w:themeColor="text1"/>
                <w:lang w:val="ro-RO"/>
              </w:rPr>
            </w:pPr>
            <w:r w:rsidRPr="00225D91">
              <w:rPr>
                <w:i/>
                <w:color w:val="000000" w:themeColor="text1"/>
                <w:lang w:val="ro-RO"/>
              </w:rPr>
              <w:t>Adaptarea la schimbările climatice</w:t>
            </w:r>
            <w:r w:rsidRPr="00225D91">
              <w:rPr>
                <w:color w:val="000000" w:themeColor="text1"/>
                <w:lang w:val="ro-RO"/>
              </w:rPr>
              <w:t>:</w:t>
            </w:r>
          </w:p>
          <w:p w14:paraId="377759B2" w14:textId="77777777" w:rsidR="003A1B30" w:rsidRPr="00225D91" w:rsidRDefault="003A1B30" w:rsidP="0071796B">
            <w:pPr>
              <w:numPr>
                <w:ilvl w:val="0"/>
                <w:numId w:val="3"/>
              </w:numPr>
              <w:spacing w:after="120" w:line="240" w:lineRule="auto"/>
              <w:contextualSpacing/>
              <w:jc w:val="both"/>
              <w:rPr>
                <w:rFonts w:eastAsia="Arial" w:cs="Times New Roman"/>
                <w:color w:val="000000" w:themeColor="text1"/>
                <w:lang w:val="ro-RO"/>
              </w:rPr>
            </w:pPr>
            <w:r w:rsidRPr="00225D91">
              <w:rPr>
                <w:color w:val="000000" w:themeColor="text1"/>
                <w:lang w:val="ro-RO"/>
              </w:rPr>
              <w:t>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vAlign w:val="center"/>
          </w:tcPr>
          <w:p w14:paraId="78B8E1A5" w14:textId="77777777" w:rsidR="003A1B30" w:rsidRPr="00225D91" w:rsidRDefault="003A1B30" w:rsidP="00D145C0">
            <w:pPr>
              <w:spacing w:after="120" w:line="240" w:lineRule="auto"/>
              <w:ind w:hanging="2"/>
              <w:jc w:val="center"/>
              <w:rPr>
                <w:rFonts w:eastAsia="Arial" w:cs="Times New Roman"/>
                <w:color w:val="000000" w:themeColor="text1"/>
                <w:lang w:val="ro-RO"/>
              </w:rPr>
            </w:pPr>
            <w:r w:rsidRPr="00225D91">
              <w:rPr>
                <w:rFonts w:eastAsia="Arial" w:cs="Times New Roman"/>
                <w:color w:val="000000" w:themeColor="text1"/>
                <w:lang w:val="ro-RO"/>
              </w:rPr>
              <w:t>x</w:t>
            </w:r>
          </w:p>
        </w:tc>
        <w:tc>
          <w:tcPr>
            <w:tcW w:w="6379" w:type="dxa"/>
            <w:shd w:val="clear" w:color="auto" w:fill="auto"/>
            <w:tcMar>
              <w:top w:w="100" w:type="dxa"/>
              <w:left w:w="100" w:type="dxa"/>
              <w:bottom w:w="100" w:type="dxa"/>
              <w:right w:w="100" w:type="dxa"/>
            </w:tcMar>
          </w:tcPr>
          <w:p w14:paraId="67B56AEE" w14:textId="77777777" w:rsidR="003A1B30" w:rsidRPr="00225D91" w:rsidRDefault="003A1B30" w:rsidP="0071796B">
            <w:pPr>
              <w:spacing w:after="120" w:line="240" w:lineRule="auto"/>
              <w:ind w:hanging="2"/>
              <w:jc w:val="both"/>
              <w:rPr>
                <w:color w:val="000000" w:themeColor="text1"/>
                <w:lang w:val="ro-RO"/>
              </w:rPr>
            </w:pPr>
            <w:r w:rsidRPr="00225D91">
              <w:rPr>
                <w:color w:val="000000" w:themeColor="text1"/>
                <w:lang w:val="ro-RO"/>
              </w:rPr>
              <w:t>Acțiunea nu va duce la creșterea efectului negativ al climatului actual și al climatului viitor preconizat asupra măsurii în sine sau asupra persoanelor, asupra naturii sau asupra activelor.</w:t>
            </w:r>
          </w:p>
          <w:p w14:paraId="35D40D32"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color w:val="000000" w:themeColor="text1"/>
                <w:lang w:val="ro-RO"/>
              </w:rPr>
              <w:t xml:space="preserve">Potrivit Agenției Europene de Mediu (AEM) și </w:t>
            </w:r>
            <w:r w:rsidRPr="00225D91">
              <w:rPr>
                <w:rFonts w:cstheme="minorHAnsi"/>
                <w:color w:val="000000" w:themeColor="text1"/>
                <w:lang w:val="ro-RO"/>
              </w:rPr>
              <w:t xml:space="preserve">Serviciului Copernicus privind schimbările climatice, sunt prognozate mari creșteri ale intensității și frecvenței valurilor de căldură în special în sudul Europei, zonă în care este situată și România (din care regiunea Sud-Vest Oltenia face parte). Astfel că, în vederea limitării creșterii temperaturii medii globale, este necesară scăderea cât mai rapidă a emisiilor de gaze cu efect de seră. </w:t>
            </w:r>
          </w:p>
          <w:p w14:paraId="230AFDC0"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Astfel de acțiuni de reducere a emisiilor de GES sunt propuse prin POR SV Oltenia 2021-2027 și, implicit, prin investițiile ce urmează a fi efectuate în vederea îmbunătățirii eficienței energetice și măsurile pentru utilizarea surselor alternative de energie a clădirilor existente.</w:t>
            </w:r>
          </w:p>
          <w:p w14:paraId="77B56645"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Pachetele de renovare vizate în cadrul acțiunii propuse răspund cerințelor privind standardul NZEB. </w:t>
            </w:r>
          </w:p>
          <w:p w14:paraId="052155C3"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iCs/>
                <w:color w:val="000000" w:themeColor="text1"/>
                <w:lang w:val="ro-RO"/>
              </w:rPr>
              <w:t xml:space="preserve">Totodată, ca urmare a analizei eșecurilor de piață în domeniul eficienței energetice, a reieșit necesitatea investițiilor </w:t>
            </w:r>
            <w:r w:rsidRPr="00225D91">
              <w:rPr>
                <w:rFonts w:cstheme="minorHAnsi"/>
                <w:color w:val="000000" w:themeColor="text1"/>
                <w:lang w:val="ro-RO"/>
              </w:rPr>
              <w:t xml:space="preserve">în vederea îmbunătățirii eficienței energetice și reducerea GES, care vor conduce la sporirea confortului termic, </w:t>
            </w:r>
            <w:r w:rsidRPr="00225D91">
              <w:rPr>
                <w:color w:val="000000" w:themeColor="text1"/>
                <w:lang w:val="ro-RO"/>
              </w:rPr>
              <w:t>precum</w:t>
            </w:r>
            <w:r w:rsidRPr="00225D91">
              <w:rPr>
                <w:rFonts w:cstheme="minorHAnsi"/>
                <w:color w:val="000000" w:themeColor="text1"/>
                <w:lang w:val="ro-RO"/>
              </w:rPr>
              <w:t xml:space="preserve"> și la creșterea nivelului de trai și </w:t>
            </w:r>
            <w:r w:rsidRPr="00225D91">
              <w:rPr>
                <w:color w:val="000000" w:themeColor="text1"/>
                <w:lang w:val="ro-RO"/>
              </w:rPr>
              <w:t>a calității vieții.</w:t>
            </w:r>
          </w:p>
        </w:tc>
      </w:tr>
      <w:tr w:rsidR="00225D91" w:rsidRPr="00225D91" w14:paraId="53B910EF" w14:textId="77777777" w:rsidTr="0071796B">
        <w:tc>
          <w:tcPr>
            <w:tcW w:w="2405" w:type="dxa"/>
            <w:shd w:val="clear" w:color="auto" w:fill="auto"/>
            <w:tcMar>
              <w:top w:w="100" w:type="dxa"/>
              <w:left w:w="100" w:type="dxa"/>
              <w:bottom w:w="100" w:type="dxa"/>
              <w:right w:w="100" w:type="dxa"/>
            </w:tcMar>
          </w:tcPr>
          <w:p w14:paraId="415C61AF" w14:textId="77777777" w:rsidR="003A1B30" w:rsidRPr="00225D91" w:rsidRDefault="003A1B30" w:rsidP="0071796B">
            <w:pPr>
              <w:spacing w:after="120" w:line="240" w:lineRule="auto"/>
              <w:ind w:hanging="2"/>
              <w:jc w:val="both"/>
              <w:rPr>
                <w:rFonts w:eastAsia="Arial" w:cs="Times New Roman"/>
                <w:color w:val="000000" w:themeColor="text1"/>
                <w:lang w:val="ro-RO"/>
              </w:rPr>
            </w:pPr>
            <w:r w:rsidRPr="00225D91">
              <w:rPr>
                <w:i/>
                <w:color w:val="000000" w:themeColor="text1"/>
                <w:lang w:val="ro-RO"/>
              </w:rPr>
              <w:t>Tranziția către o economie circulară, inclusiv prevenirea generării de deșeuri și reciclarea acestora:</w:t>
            </w:r>
            <w:r w:rsidRPr="00225D91">
              <w:rPr>
                <w:color w:val="000000" w:themeColor="text1"/>
                <w:lang w:val="ro-RO"/>
              </w:rPr>
              <w:t xml:space="preserve"> </w:t>
            </w:r>
          </w:p>
          <w:p w14:paraId="101C4421" w14:textId="77777777" w:rsidR="003A1B30" w:rsidRPr="00225D91" w:rsidRDefault="003A1B30" w:rsidP="0071796B">
            <w:pPr>
              <w:spacing w:after="120" w:line="240" w:lineRule="auto"/>
              <w:contextualSpacing/>
              <w:jc w:val="both"/>
              <w:rPr>
                <w:rFonts w:eastAsia="Arial" w:cs="Times New Roman"/>
                <w:color w:val="000000" w:themeColor="text1"/>
                <w:lang w:val="ro-RO"/>
              </w:rPr>
            </w:pPr>
            <w:r w:rsidRPr="00225D91">
              <w:rPr>
                <w:color w:val="000000" w:themeColor="text1"/>
                <w:lang w:val="ro-RO"/>
              </w:rPr>
              <w:t xml:space="preserve">- Se preconizează că măsura: </w:t>
            </w:r>
          </w:p>
          <w:p w14:paraId="276E5964" w14:textId="77777777" w:rsidR="003A1B30" w:rsidRPr="00225D91" w:rsidRDefault="003A1B30" w:rsidP="0071796B">
            <w:pPr>
              <w:numPr>
                <w:ilvl w:val="0"/>
                <w:numId w:val="5"/>
              </w:numPr>
              <w:spacing w:after="120" w:line="240" w:lineRule="auto"/>
              <w:ind w:left="340" w:hanging="170"/>
              <w:contextualSpacing/>
              <w:jc w:val="both"/>
              <w:rPr>
                <w:color w:val="000000" w:themeColor="text1"/>
                <w:lang w:val="ro-RO"/>
              </w:rPr>
            </w:pPr>
            <w:r w:rsidRPr="00225D91">
              <w:rPr>
                <w:color w:val="000000" w:themeColor="text1"/>
                <w:lang w:val="ro-RO"/>
              </w:rPr>
              <w:t xml:space="preserve">va duce la o creștere semnificativă a generării, a incinerării sau a eliminării deșeurilor, cu excepția incinerării deșeurilor periculoase nereciclabile sau </w:t>
            </w:r>
          </w:p>
          <w:p w14:paraId="4F681C08" w14:textId="77777777" w:rsidR="003A1B30" w:rsidRPr="00225D91" w:rsidRDefault="003A1B30" w:rsidP="0071796B">
            <w:pPr>
              <w:numPr>
                <w:ilvl w:val="0"/>
                <w:numId w:val="5"/>
              </w:numPr>
              <w:spacing w:after="120" w:line="240" w:lineRule="auto"/>
              <w:ind w:left="340" w:hanging="170"/>
              <w:contextualSpacing/>
              <w:jc w:val="both"/>
              <w:rPr>
                <w:color w:val="000000" w:themeColor="text1"/>
                <w:lang w:val="ro-RO"/>
              </w:rPr>
            </w:pPr>
            <w:r w:rsidRPr="00225D91">
              <w:rPr>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68083C6A" w14:textId="77777777" w:rsidR="003A1B30" w:rsidRPr="00225D91" w:rsidRDefault="003A1B30" w:rsidP="0071796B">
            <w:pPr>
              <w:numPr>
                <w:ilvl w:val="0"/>
                <w:numId w:val="5"/>
              </w:numPr>
              <w:spacing w:after="120" w:line="240" w:lineRule="auto"/>
              <w:ind w:left="340" w:hanging="170"/>
              <w:contextualSpacing/>
              <w:jc w:val="both"/>
              <w:rPr>
                <w:color w:val="000000" w:themeColor="text1"/>
                <w:lang w:val="ro-RO"/>
              </w:rPr>
            </w:pPr>
            <w:r w:rsidRPr="00225D91">
              <w:rPr>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1F02A2B9" w14:textId="77777777" w:rsidR="003A1B30" w:rsidRPr="00225D91" w:rsidRDefault="003A1B30" w:rsidP="0071796B">
            <w:pPr>
              <w:spacing w:after="120" w:line="240" w:lineRule="auto"/>
              <w:ind w:hanging="2"/>
              <w:jc w:val="both"/>
              <w:rPr>
                <w:rFonts w:eastAsia="Arial" w:cs="Times New Roman"/>
                <w:color w:val="000000" w:themeColor="text1"/>
                <w:lang w:val="ro-RO"/>
              </w:rPr>
            </w:pPr>
            <w:r w:rsidRPr="00225D91">
              <w:rPr>
                <w:rFonts w:eastAsia="Arial" w:cs="Times New Roman"/>
                <w:color w:val="000000" w:themeColor="text1"/>
                <w:lang w:val="ro-RO"/>
              </w:rPr>
              <w:t>x</w:t>
            </w:r>
          </w:p>
        </w:tc>
        <w:tc>
          <w:tcPr>
            <w:tcW w:w="6379" w:type="dxa"/>
            <w:shd w:val="clear" w:color="auto" w:fill="auto"/>
            <w:tcMar>
              <w:top w:w="100" w:type="dxa"/>
              <w:left w:w="100" w:type="dxa"/>
              <w:bottom w:w="100" w:type="dxa"/>
              <w:right w:w="100" w:type="dxa"/>
            </w:tcMar>
          </w:tcPr>
          <w:p w14:paraId="4329627B"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cstheme="minorHAnsi"/>
                <w:color w:val="000000" w:themeColor="text1"/>
                <w:lang w:val="ro-RO"/>
              </w:rPr>
              <w:t>În ceea ce privește economia circulară, aceasta este parte componentă a dezvoltării durabile, aducând în prim plan nevoia de optimizare a consumurilor de resurse pentru a preveni, a reduce risipa și a se promova reutilizarea. Acțiunea propusă este conformă cu principiile produselor durabile și cu ierarhia deșeurilor, acordând prioritate prevenirii generării de deșeuri.</w:t>
            </w:r>
          </w:p>
          <w:p w14:paraId="25B3E945"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Deșeurile generate în timpul activităților de construcţie vor fi gestionate în conformitate cu </w:t>
            </w:r>
            <w:r w:rsidRPr="00225D91">
              <w:rPr>
                <w:rFonts w:eastAsia="Arial" w:cstheme="minorHAnsi"/>
                <w:color w:val="000000" w:themeColor="text1"/>
                <w:lang w:val="ro-RO"/>
              </w:rPr>
              <w:t>Protocolul UE de gestionare a deșeurilor</w:t>
            </w:r>
            <w:r w:rsidRPr="00225D91">
              <w:rPr>
                <w:color w:val="000000" w:themeColor="text1"/>
                <w:lang w:val="ro-RO"/>
              </w:rPr>
              <w:t>, cu obiectivele Planului Naţional de Gestionare a Deşeurilor aprobat prin HG nr. 942/20.12.2017 și cu articolul 28 din Directiva 2008/98/CE, modificată prin Directiva (UE) 2018/851</w:t>
            </w:r>
            <w:r w:rsidRPr="00225D91">
              <w:rPr>
                <w:rFonts w:cstheme="minorHAnsi"/>
                <w:color w:val="000000" w:themeColor="text1"/>
                <w:lang w:val="ro-RO"/>
              </w:rPr>
              <w:t xml:space="preserve"> (colectare selectivă, reutilizare și depozitare finală).</w:t>
            </w:r>
            <w:r w:rsidRPr="00225D91">
              <w:rPr>
                <w:rFonts w:eastAsia="Arial" w:cstheme="minorHAnsi"/>
                <w:color w:val="000000" w:themeColor="text1"/>
                <w:lang w:val="ro-RO"/>
              </w:rPr>
              <w:t xml:space="preserve"> </w:t>
            </w:r>
          </w:p>
          <w:p w14:paraId="0208B4B7" w14:textId="77777777" w:rsidR="003A1B30" w:rsidRPr="00225D91" w:rsidRDefault="003A1B30" w:rsidP="0071796B">
            <w:pPr>
              <w:spacing w:after="120" w:line="240" w:lineRule="auto"/>
              <w:jc w:val="both"/>
              <w:rPr>
                <w:color w:val="000000" w:themeColor="text1"/>
                <w:lang w:val="ro-RO"/>
              </w:rPr>
            </w:pPr>
            <w:r w:rsidRPr="00225D91">
              <w:rPr>
                <w:color w:val="000000" w:themeColor="text1"/>
                <w:lang w:val="ro-RO"/>
              </w:rPr>
              <w:t>Operatorii economici se vor asigura că o parte din deșeurile nepericuloase generate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w:t>
            </w:r>
          </w:p>
          <w:p w14:paraId="2309903F" w14:textId="7CEF796E" w:rsidR="003A1B30" w:rsidRPr="00225D91" w:rsidRDefault="00BE7596"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Va fi sprijinită utilizarea </w:t>
            </w:r>
            <w:r w:rsidR="003A1B30" w:rsidRPr="00225D91">
              <w:rPr>
                <w:rFonts w:eastAsia="Arial" w:cstheme="minorHAnsi"/>
                <w:color w:val="000000" w:themeColor="text1"/>
                <w:lang w:val="ro-RO"/>
              </w:rPr>
              <w:t>soluții</w:t>
            </w:r>
            <w:r w:rsidR="009163A5" w:rsidRPr="00225D91">
              <w:rPr>
                <w:rFonts w:eastAsia="Arial" w:cstheme="minorHAnsi"/>
                <w:color w:val="000000" w:themeColor="text1"/>
                <w:lang w:val="ro-RO"/>
              </w:rPr>
              <w:t>lor</w:t>
            </w:r>
            <w:r w:rsidR="003A1B30" w:rsidRPr="00225D91">
              <w:rPr>
                <w:rFonts w:eastAsia="Arial" w:cstheme="minorHAnsi"/>
                <w:color w:val="000000" w:themeColor="text1"/>
                <w:lang w:val="ro-RO"/>
              </w:rPr>
              <w:t xml:space="preserve"> </w:t>
            </w:r>
            <w:r w:rsidR="003A1B30" w:rsidRPr="00225D91">
              <w:rPr>
                <w:rFonts w:eastAsia="Calibri" w:cstheme="minorHAnsi"/>
                <w:color w:val="000000" w:themeColor="text1"/>
                <w:lang w:val="ro-RO"/>
              </w:rPr>
              <w:t xml:space="preserve">de energie din surse regenerabile. </w:t>
            </w:r>
            <w:r w:rsidR="003A1B30" w:rsidRPr="00225D91">
              <w:rPr>
                <w:rFonts w:eastAsia="Arial" w:cstheme="minorHAnsi"/>
                <w:color w:val="000000" w:themeColor="text1"/>
                <w:lang w:val="ro-RO"/>
              </w:rPr>
              <w:t xml:space="preserve">Pentru echipamentele destinate producției de energie din surse regenerabile care pot fi instalate, în procesul de selecție a proiectelor se vor stabili criterii în ceea ce privește durabilitatea și potențialul lor de reparare și de reciclare. </w:t>
            </w:r>
          </w:p>
          <w:p w14:paraId="40EF8A78" w14:textId="77777777" w:rsidR="003A1B30" w:rsidRPr="00225D91" w:rsidRDefault="003A1B30" w:rsidP="0071796B">
            <w:pPr>
              <w:spacing w:after="120" w:line="240" w:lineRule="auto"/>
              <w:jc w:val="both"/>
              <w:rPr>
                <w:rFonts w:cstheme="minorHAnsi"/>
                <w:color w:val="000000" w:themeColor="text1"/>
                <w:lang w:val="ro-RO"/>
              </w:rPr>
            </w:pPr>
            <w:r w:rsidRPr="00225D91">
              <w:rPr>
                <w:rFonts w:eastAsia="Arial" w:cstheme="minorHAnsi"/>
                <w:color w:val="000000" w:themeColor="text1"/>
                <w:lang w:val="ro-RO"/>
              </w:rPr>
              <w:t>Proiectarea clădirilor și tehnicile de construcție vor sprijini circularitatea și, în special, vor demonstra, în conformitate standardele aplicabile, modul în care sunt proiectate astfel încât să fie mai eficiente din punctul de vedere al utilizării resurselor, adaptabile, flexibile și demontabile.</w:t>
            </w:r>
            <w:r w:rsidRPr="00225D91">
              <w:rPr>
                <w:rFonts w:cstheme="minorHAnsi"/>
                <w:color w:val="000000" w:themeColor="text1"/>
                <w:lang w:val="ro-RO"/>
              </w:rPr>
              <w:t xml:space="preserve"> </w:t>
            </w:r>
          </w:p>
          <w:p w14:paraId="409FF64F"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Prin urmare, acțiunea propusă este în concordanță cu acest obiectiv de mediu.</w:t>
            </w:r>
          </w:p>
        </w:tc>
      </w:tr>
      <w:tr w:rsidR="003A1B30" w:rsidRPr="00225D91" w14:paraId="2818AD6E" w14:textId="77777777" w:rsidTr="0071796B">
        <w:tc>
          <w:tcPr>
            <w:tcW w:w="2405" w:type="dxa"/>
            <w:shd w:val="clear" w:color="auto" w:fill="auto"/>
            <w:tcMar>
              <w:top w:w="100" w:type="dxa"/>
              <w:left w:w="100" w:type="dxa"/>
              <w:bottom w:w="100" w:type="dxa"/>
              <w:right w:w="100" w:type="dxa"/>
            </w:tcMar>
          </w:tcPr>
          <w:p w14:paraId="7DCB91AA" w14:textId="77777777" w:rsidR="003A1B30" w:rsidRPr="00225D91" w:rsidRDefault="003A1B30" w:rsidP="0071796B">
            <w:pPr>
              <w:spacing w:after="120" w:line="240" w:lineRule="auto"/>
              <w:ind w:hanging="2"/>
              <w:jc w:val="both"/>
              <w:rPr>
                <w:i/>
                <w:iCs/>
                <w:color w:val="000000" w:themeColor="text1"/>
                <w:lang w:val="ro-RO"/>
              </w:rPr>
            </w:pPr>
            <w:r w:rsidRPr="00225D91">
              <w:rPr>
                <w:i/>
                <w:iCs/>
                <w:color w:val="000000" w:themeColor="text1"/>
                <w:lang w:val="ro-RO"/>
              </w:rPr>
              <w:t>Prevenirea și controlul poluării:</w:t>
            </w:r>
          </w:p>
          <w:p w14:paraId="05A015BB" w14:textId="77777777" w:rsidR="003A1B30" w:rsidRPr="00225D91" w:rsidRDefault="003A1B30" w:rsidP="0071796B">
            <w:pPr>
              <w:numPr>
                <w:ilvl w:val="0"/>
                <w:numId w:val="3"/>
              </w:numPr>
              <w:spacing w:after="120" w:line="240" w:lineRule="auto"/>
              <w:contextualSpacing/>
              <w:jc w:val="both"/>
              <w:rPr>
                <w:rFonts w:eastAsia="Arial" w:cs="Times New Roman"/>
                <w:color w:val="000000" w:themeColor="text1"/>
                <w:lang w:val="ro-RO"/>
              </w:rPr>
            </w:pPr>
            <w:r w:rsidRPr="00225D91">
              <w:rPr>
                <w:color w:val="000000" w:themeColor="text1"/>
                <w:lang w:val="ro-RO"/>
              </w:rPr>
              <w:t>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tcPr>
          <w:p w14:paraId="696E5ADB" w14:textId="77777777" w:rsidR="003A1B30" w:rsidRPr="00225D91" w:rsidRDefault="003A1B30" w:rsidP="0071796B">
            <w:pPr>
              <w:spacing w:after="120" w:line="240" w:lineRule="auto"/>
              <w:ind w:hanging="2"/>
              <w:jc w:val="both"/>
              <w:rPr>
                <w:rFonts w:eastAsia="Arial" w:cs="Times New Roman"/>
                <w:color w:val="000000" w:themeColor="text1"/>
                <w:lang w:val="ro-RO"/>
              </w:rPr>
            </w:pPr>
            <w:r w:rsidRPr="00225D91">
              <w:rPr>
                <w:rFonts w:eastAsia="Arial" w:cs="Times New Roman"/>
                <w:color w:val="000000" w:themeColor="text1"/>
                <w:lang w:val="ro-RO"/>
              </w:rPr>
              <w:t>x</w:t>
            </w:r>
          </w:p>
        </w:tc>
        <w:tc>
          <w:tcPr>
            <w:tcW w:w="6379" w:type="dxa"/>
            <w:shd w:val="clear" w:color="auto" w:fill="auto"/>
            <w:tcMar>
              <w:top w:w="100" w:type="dxa"/>
              <w:left w:w="100" w:type="dxa"/>
              <w:bottom w:w="100" w:type="dxa"/>
              <w:right w:w="100" w:type="dxa"/>
            </w:tcMar>
          </w:tcPr>
          <w:p w14:paraId="6DF4FF38" w14:textId="20636503" w:rsidR="008817A5" w:rsidRPr="00225D91" w:rsidRDefault="003A1B30" w:rsidP="008817A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Nu se preconizează că măsura va duce la o creștere semnificativă a emisiilor de poluanți în aer, apă sau sol</w:t>
            </w:r>
            <w:r w:rsidR="008817A5" w:rsidRPr="00225D91">
              <w:rPr>
                <w:rFonts w:eastAsia="Arial" w:cstheme="minorHAnsi"/>
                <w:color w:val="000000" w:themeColor="text1"/>
                <w:lang w:val="ro-RO"/>
              </w:rPr>
              <w:t>, deoarece:</w:t>
            </w:r>
          </w:p>
          <w:p w14:paraId="2D3689A9" w14:textId="6AF00406" w:rsidR="003A1B30" w:rsidRPr="00225D91" w:rsidRDefault="003A1B30" w:rsidP="0071796B">
            <w:pPr>
              <w:numPr>
                <w:ilvl w:val="0"/>
                <w:numId w:val="3"/>
              </w:numPr>
              <w:spacing w:after="120" w:line="240" w:lineRule="auto"/>
              <w:ind w:left="454" w:hanging="227"/>
              <w:contextualSpacing/>
              <w:jc w:val="both"/>
              <w:rPr>
                <w:rFonts w:eastAsia="Times New Roman" w:cstheme="minorHAnsi"/>
                <w:color w:val="000000" w:themeColor="text1"/>
                <w:lang w:val="ro-RO"/>
              </w:rPr>
            </w:pPr>
            <w:r w:rsidRPr="00225D91">
              <w:rPr>
                <w:rFonts w:cstheme="minorHAnsi"/>
                <w:color w:val="000000" w:themeColor="text1"/>
                <w:lang w:val="ro-RO"/>
              </w:rPr>
              <w:t>investițiile efectuate în vederea îmbunătățirii eficienței energetice și măsurile pentru utilizarea surselor alternative de energie</w:t>
            </w:r>
            <w:r w:rsidRPr="00225D91">
              <w:rPr>
                <w:rFonts w:eastAsia="Arial" w:cs="Times New Roman"/>
                <w:color w:val="000000" w:themeColor="text1"/>
                <w:lang w:val="ro-RO"/>
              </w:rPr>
              <w:t xml:space="preserve"> a clădirilor existente </w:t>
            </w:r>
            <w:r w:rsidRPr="00225D91">
              <w:rPr>
                <w:rFonts w:eastAsia="Arial" w:cstheme="minorHAnsi"/>
                <w:color w:val="000000" w:themeColor="text1"/>
                <w:lang w:val="ro-RO"/>
              </w:rPr>
              <w:t>vor conduce, în special, la reduceri semnificative ale emisiilor în aer și la o îmbunătățire ulterioară a sănătății publice, a calității vieții într-un domeniu în care standardele UE privind calitatea aerului stabilite prin Directiva 2008/50/UE sunt depășite sau este posibil să fie depășite;</w:t>
            </w:r>
          </w:p>
          <w:p w14:paraId="204BE8DF" w14:textId="77777777" w:rsidR="003A1B30" w:rsidRPr="00225D91" w:rsidRDefault="003A1B30" w:rsidP="0071796B">
            <w:pPr>
              <w:numPr>
                <w:ilvl w:val="0"/>
                <w:numId w:val="3"/>
              </w:numPr>
              <w:spacing w:after="120" w:line="240" w:lineRule="auto"/>
              <w:ind w:left="454" w:hanging="227"/>
              <w:contextualSpacing/>
              <w:jc w:val="both"/>
              <w:rPr>
                <w:rFonts w:eastAsia="Arial" w:cstheme="minorHAnsi"/>
                <w:color w:val="000000" w:themeColor="text1"/>
                <w:lang w:val="ro-RO"/>
              </w:rPr>
            </w:pPr>
            <w:r w:rsidRPr="00225D91">
              <w:rPr>
                <w:color w:val="000000" w:themeColor="text1"/>
                <w:lang w:val="ro-RO"/>
              </w:rPr>
              <w:t>operatorii economici care efectuează lucrările au obligația de a se asigura că atât componentele cât și materialele de construcție utilizate nu conțin azbest și nici substanțe care prezintă motive de îngrijorare deosebită, astfel cum au fost identificate pe baza listei substanțelor supuse autorizării prevăzute în anexa XIV la Regulamentul (CE) nr. 1907/2006 și emit mai puțin de 0,06 mg de formaldehidă pe m</w:t>
            </w:r>
            <w:r w:rsidRPr="00225D91">
              <w:rPr>
                <w:color w:val="000000" w:themeColor="text1"/>
                <w:vertAlign w:val="superscript"/>
                <w:lang w:val="ro-RO"/>
              </w:rPr>
              <w:t>3</w:t>
            </w:r>
            <w:r w:rsidRPr="00225D91">
              <w:rPr>
                <w:color w:val="000000" w:themeColor="text1"/>
                <w:lang w:val="ro-RO"/>
              </w:rPr>
              <w:t xml:space="preserve"> de material sau componentă și mai puțin de 0,001 mg de compuși organici volatili cancerigeni din categoriile 1A și 1B pe m</w:t>
            </w:r>
            <w:r w:rsidRPr="00225D91">
              <w:rPr>
                <w:color w:val="000000" w:themeColor="text1"/>
                <w:vertAlign w:val="superscript"/>
                <w:lang w:val="ro-RO"/>
              </w:rPr>
              <w:t>3</w:t>
            </w:r>
            <w:r w:rsidRPr="00225D91">
              <w:rPr>
                <w:color w:val="000000" w:themeColor="text1"/>
                <w:lang w:val="ro-RO"/>
              </w:rPr>
              <w:t xml:space="preserve"> de material sau componentă în conformitate cu condițiile de testare standardizate și metodele de determinare comparabile;</w:t>
            </w:r>
          </w:p>
          <w:p w14:paraId="1B3169A3" w14:textId="0A127104" w:rsidR="003A1B30" w:rsidRPr="00225D91" w:rsidRDefault="003A1B30" w:rsidP="0071796B">
            <w:pPr>
              <w:numPr>
                <w:ilvl w:val="0"/>
                <w:numId w:val="3"/>
              </w:numPr>
              <w:spacing w:after="120" w:line="240" w:lineRule="auto"/>
              <w:ind w:left="454" w:hanging="227"/>
              <w:contextualSpacing/>
              <w:jc w:val="both"/>
              <w:rPr>
                <w:rFonts w:eastAsia="Arial" w:cstheme="minorHAnsi"/>
                <w:color w:val="000000" w:themeColor="text1"/>
                <w:lang w:val="ro-RO"/>
              </w:rPr>
            </w:pPr>
            <w:r w:rsidRPr="00225D91">
              <w:rPr>
                <w:rFonts w:eastAsia="Arial" w:cstheme="minorHAnsi"/>
                <w:color w:val="000000" w:themeColor="text1"/>
                <w:lang w:val="ro-RO"/>
              </w:rPr>
              <w:t xml:space="preserve">în perioada de implementare, </w:t>
            </w:r>
            <w:r w:rsidR="00BE7596" w:rsidRPr="00225D91">
              <w:rPr>
                <w:rFonts w:eastAsia="Arial" w:cstheme="minorHAnsi"/>
                <w:color w:val="000000" w:themeColor="text1"/>
                <w:lang w:val="ro-RO"/>
              </w:rPr>
              <w:t xml:space="preserve">se recomandă ca </w:t>
            </w:r>
            <w:r w:rsidRPr="00225D91">
              <w:rPr>
                <w:rFonts w:eastAsia="Arial" w:cstheme="minorHAnsi"/>
                <w:color w:val="000000" w:themeColor="text1"/>
                <w:lang w:val="ro-RO"/>
              </w:rPr>
              <w:t xml:space="preserve">operatorii care efectuează renovarea să asigure măsuri privind calitatea aerului din interiorul clădirilor asupra cărora s-a intervenit; </w:t>
            </w:r>
          </w:p>
          <w:p w14:paraId="51AE55A6" w14:textId="77777777" w:rsidR="003A1B30" w:rsidRPr="00225D91" w:rsidRDefault="003A1B30" w:rsidP="0071796B">
            <w:pPr>
              <w:numPr>
                <w:ilvl w:val="0"/>
                <w:numId w:val="3"/>
              </w:numPr>
              <w:spacing w:after="120" w:line="240" w:lineRule="auto"/>
              <w:ind w:left="454" w:hanging="227"/>
              <w:contextualSpacing/>
              <w:jc w:val="both"/>
              <w:rPr>
                <w:rFonts w:eastAsia="Arial" w:cstheme="minorHAnsi"/>
                <w:color w:val="000000" w:themeColor="text1"/>
                <w:lang w:val="ro-RO"/>
              </w:rPr>
            </w:pPr>
            <w:r w:rsidRPr="00225D91">
              <w:rPr>
                <w:rFonts w:eastAsia="Arial" w:cstheme="minorHAnsi"/>
                <w:color w:val="000000" w:themeColor="text1"/>
                <w:lang w:val="ro-RO"/>
              </w:rPr>
              <w:t>de asemenea, se recomandă utilizarea materialelor de construcții care conduc la reducerea zgomotului, a prafului și a emisiilor poluante în timpul lucrărilor de renovare, utilizarea materialelor cu conținut scăzut de carbon, atât pentru intervențiile în vederea reducerii riscului seismic, cât și pentru eficientizarea energetică a clădirilor</w:t>
            </w:r>
            <w:r w:rsidRPr="00225D91">
              <w:rPr>
                <w:rFonts w:ascii="Times New Roman" w:eastAsia="Arial" w:hAnsi="Times New Roman" w:cs="Times New Roman"/>
                <w:color w:val="000000" w:themeColor="text1"/>
                <w:sz w:val="18"/>
                <w:szCs w:val="18"/>
                <w:lang w:val="ro-RO"/>
              </w:rPr>
              <w:t>.</w:t>
            </w:r>
          </w:p>
        </w:tc>
      </w:tr>
    </w:tbl>
    <w:p w14:paraId="55C20C8F" w14:textId="77777777" w:rsidR="003A1B30" w:rsidRPr="00225D91" w:rsidRDefault="003A1B30" w:rsidP="003A1B30">
      <w:pPr>
        <w:spacing w:after="120" w:line="240" w:lineRule="auto"/>
        <w:ind w:left="48"/>
        <w:jc w:val="both"/>
        <w:rPr>
          <w:rFonts w:eastAsia="Calibri" w:cstheme="minorHAnsi"/>
          <w:bCs/>
          <w:color w:val="000000" w:themeColor="text1"/>
          <w:lang w:val="ro-RO"/>
        </w:rPr>
      </w:pPr>
    </w:p>
    <w:p w14:paraId="34E9BA4D" w14:textId="77777777" w:rsidR="003A1B30" w:rsidRPr="00225D91" w:rsidRDefault="003A1B30" w:rsidP="003A1B30">
      <w:pPr>
        <w:spacing w:after="0" w:line="276" w:lineRule="auto"/>
        <w:ind w:left="48"/>
        <w:jc w:val="both"/>
        <w:rPr>
          <w:rFonts w:eastAsia="Calibri" w:cstheme="minorHAnsi"/>
          <w:color w:val="000000" w:themeColor="text1"/>
          <w:lang w:val="ro-RO"/>
        </w:rPr>
      </w:pPr>
    </w:p>
    <w:p w14:paraId="4F941D9A" w14:textId="77C45512" w:rsidR="002A3BFD" w:rsidRDefault="000B6FF3">
      <w:pPr>
        <w:rPr>
          <w:color w:val="000000" w:themeColor="text1"/>
          <w:lang w:val="ro-RO"/>
        </w:rPr>
      </w:pPr>
      <w:r w:rsidRPr="000B6FF3">
        <w:rPr>
          <w:color w:val="000000" w:themeColor="text1"/>
          <w:lang w:val="ro-RO"/>
        </w:rPr>
        <w:t>Pentru operațiunile selectate, în faza de evaluare, un evaluator independent va verifica dacă proiectele propuse includ măsuri de atenuare/ măsuri compensatorii care pot preveni, reduce și compensa cât mai mult posibil orice efecte negative semnificative asupra mediului și dacă prin documentația depusă se demonstrează conformitatea cu principiului DNSH</w:t>
      </w:r>
      <w:r w:rsidR="006D2475">
        <w:rPr>
          <w:color w:val="000000" w:themeColor="text1"/>
          <w:lang w:val="ro-RO"/>
        </w:rPr>
        <w:t>.</w:t>
      </w:r>
    </w:p>
    <w:p w14:paraId="3D7CCCA9" w14:textId="75C0DB57" w:rsidR="006D2475" w:rsidRPr="00716E02" w:rsidRDefault="006D2475">
      <w:pPr>
        <w:rPr>
          <w:b/>
          <w:color w:val="000000" w:themeColor="text1"/>
          <w:lang w:val="ro-RO"/>
        </w:rPr>
      </w:pPr>
      <w:r w:rsidRPr="00716E02">
        <w:rPr>
          <w:b/>
          <w:color w:val="000000" w:themeColor="text1"/>
          <w:lang w:val="ro-RO"/>
        </w:rPr>
        <w:t xml:space="preserve">Masuri </w:t>
      </w:r>
      <w:bookmarkStart w:id="2" w:name="_GoBack"/>
      <w:bookmarkEnd w:id="2"/>
      <w:r w:rsidRPr="00716E02">
        <w:rPr>
          <w:b/>
          <w:color w:val="000000" w:themeColor="text1"/>
          <w:lang w:val="ro-RO"/>
        </w:rPr>
        <w:t>pentru atenuarea impactului asupra obiectivelor de mediu</w:t>
      </w:r>
    </w:p>
    <w:tbl>
      <w:tblPr>
        <w:tblStyle w:val="TableGrid"/>
        <w:tblW w:w="9351" w:type="dxa"/>
        <w:tblLook w:val="04A0" w:firstRow="1" w:lastRow="0" w:firstColumn="1" w:lastColumn="0" w:noHBand="0" w:noVBand="1"/>
      </w:tblPr>
      <w:tblGrid>
        <w:gridCol w:w="3114"/>
        <w:gridCol w:w="6237"/>
      </w:tblGrid>
      <w:tr w:rsidR="006D2475" w:rsidRPr="00583E36" w14:paraId="61CD065D" w14:textId="77777777" w:rsidTr="00583E36">
        <w:trPr>
          <w:tblHeader/>
        </w:trPr>
        <w:tc>
          <w:tcPr>
            <w:tcW w:w="3114" w:type="dxa"/>
            <w:shd w:val="clear" w:color="auto" w:fill="D9E2F3" w:themeFill="accent1" w:themeFillTint="33"/>
          </w:tcPr>
          <w:p w14:paraId="0322B5C6" w14:textId="78A04426" w:rsidR="006D2475" w:rsidRPr="00583E36" w:rsidRDefault="006D2475" w:rsidP="006D2475">
            <w:pPr>
              <w:rPr>
                <w:rFonts w:cstheme="minorHAnsi"/>
                <w:b/>
                <w:bCs/>
              </w:rPr>
            </w:pPr>
            <w:r w:rsidRPr="00583E36">
              <w:rPr>
                <w:rFonts w:cstheme="minorHAnsi"/>
                <w:b/>
                <w:bCs/>
              </w:rPr>
              <w:t>Obiectiv de mediu</w:t>
            </w:r>
          </w:p>
        </w:tc>
        <w:tc>
          <w:tcPr>
            <w:tcW w:w="6237" w:type="dxa"/>
            <w:shd w:val="clear" w:color="auto" w:fill="D9E2F3" w:themeFill="accent1" w:themeFillTint="33"/>
          </w:tcPr>
          <w:p w14:paraId="65A40E7F" w14:textId="77777777" w:rsidR="006D2475" w:rsidRPr="00583E36" w:rsidRDefault="006D2475" w:rsidP="008A00C2">
            <w:pPr>
              <w:rPr>
                <w:rFonts w:cstheme="minorHAnsi"/>
                <w:b/>
                <w:bCs/>
              </w:rPr>
            </w:pPr>
            <w:r w:rsidRPr="00583E36">
              <w:rPr>
                <w:rFonts w:cstheme="minorHAnsi"/>
                <w:b/>
                <w:bCs/>
              </w:rPr>
              <w:t>Măsuri minime obligatorii de atenuare/reducere a riscului identificat</w:t>
            </w:r>
          </w:p>
        </w:tc>
      </w:tr>
      <w:tr w:rsidR="006D2475" w:rsidRPr="00583E36" w14:paraId="5F864CFE" w14:textId="77777777" w:rsidTr="00304138">
        <w:tc>
          <w:tcPr>
            <w:tcW w:w="3114" w:type="dxa"/>
          </w:tcPr>
          <w:p w14:paraId="117A01AB" w14:textId="7916E606" w:rsidR="006D2475" w:rsidRPr="00583E36" w:rsidRDefault="006D2475" w:rsidP="008A00C2">
            <w:pPr>
              <w:rPr>
                <w:rFonts w:cstheme="minorHAnsi"/>
              </w:rPr>
            </w:pPr>
            <w:r w:rsidRPr="00583E36">
              <w:rPr>
                <w:rFonts w:cstheme="minorHAnsi"/>
              </w:rPr>
              <w:t xml:space="preserve">Atenuarea schimbărilor climatice </w:t>
            </w:r>
          </w:p>
          <w:p w14:paraId="109EB578" w14:textId="77777777" w:rsidR="006D2475" w:rsidRPr="00583E36" w:rsidRDefault="006D2475" w:rsidP="008A00C2">
            <w:pPr>
              <w:rPr>
                <w:rFonts w:cstheme="minorHAnsi"/>
              </w:rPr>
            </w:pPr>
          </w:p>
          <w:p w14:paraId="49D60CE5" w14:textId="77777777" w:rsidR="006D2475" w:rsidRPr="00583E36" w:rsidRDefault="006D2475" w:rsidP="008A00C2">
            <w:pPr>
              <w:spacing w:line="276" w:lineRule="auto"/>
              <w:ind w:left="2" w:hanging="2"/>
              <w:jc w:val="both"/>
              <w:rPr>
                <w:rFonts w:cstheme="minorHAnsi"/>
              </w:rPr>
            </w:pPr>
          </w:p>
          <w:p w14:paraId="33B993C5" w14:textId="77777777" w:rsidR="006D2475" w:rsidRPr="00583E36" w:rsidRDefault="006D2475" w:rsidP="008A00C2">
            <w:pPr>
              <w:spacing w:line="276" w:lineRule="auto"/>
              <w:ind w:left="2" w:hanging="2"/>
              <w:jc w:val="both"/>
              <w:rPr>
                <w:rFonts w:cstheme="minorHAnsi"/>
              </w:rPr>
            </w:pPr>
          </w:p>
          <w:p w14:paraId="7166B997" w14:textId="77777777" w:rsidR="006D2475" w:rsidRPr="00583E36" w:rsidRDefault="006D2475" w:rsidP="008A00C2">
            <w:pPr>
              <w:rPr>
                <w:rFonts w:cstheme="minorHAnsi"/>
              </w:rPr>
            </w:pPr>
            <w:r w:rsidRPr="00583E36">
              <w:rPr>
                <w:rFonts w:cstheme="minorHAnsi"/>
              </w:rPr>
              <w:t xml:space="preserve"> </w:t>
            </w:r>
          </w:p>
        </w:tc>
        <w:tc>
          <w:tcPr>
            <w:tcW w:w="6237" w:type="dxa"/>
          </w:tcPr>
          <w:p w14:paraId="1B41BCBA" w14:textId="77777777" w:rsidR="00304138" w:rsidRPr="00583E36" w:rsidRDefault="00304138" w:rsidP="00304138">
            <w:pPr>
              <w:spacing w:line="276" w:lineRule="auto"/>
              <w:ind w:left="2" w:hanging="2"/>
              <w:jc w:val="both"/>
              <w:rPr>
                <w:rFonts w:cstheme="minorHAnsi"/>
              </w:rPr>
            </w:pPr>
            <w:r w:rsidRPr="00583E36">
              <w:rPr>
                <w:rFonts w:cstheme="minorHAnsi"/>
              </w:rPr>
              <w:t xml:space="preserve">În </w:t>
            </w:r>
            <w:r w:rsidRPr="00583E36">
              <w:rPr>
                <w:rFonts w:cstheme="minorHAnsi"/>
                <w:u w:val="single"/>
              </w:rPr>
              <w:t>etapa de construcție</w:t>
            </w:r>
            <w:r w:rsidRPr="00583E36">
              <w:rPr>
                <w:rFonts w:cstheme="minorHAnsi"/>
              </w:rPr>
              <w:t xml:space="preserve"> a proiectului de investiții, emisiile de GES provin din schimbările în utilizarea terenului (de exemplu, prin curățarea terenului și pierderea de copaci, perturbarea solului), din utilizare combustibilului, a energiei electrice necesare realizării construcției, din deplasarea lucrătorilor din construcții la șantier și transportul materialelor de construcție și al deșeurilor.</w:t>
            </w:r>
          </w:p>
          <w:p w14:paraId="0CEACB92" w14:textId="77777777" w:rsidR="006D2475" w:rsidRPr="00583E36" w:rsidRDefault="006D2475" w:rsidP="008A00C2">
            <w:pPr>
              <w:spacing w:line="276" w:lineRule="auto"/>
              <w:ind w:left="2" w:hanging="2"/>
              <w:jc w:val="both"/>
              <w:rPr>
                <w:rFonts w:cstheme="minorHAnsi"/>
              </w:rPr>
            </w:pPr>
          </w:p>
          <w:p w14:paraId="37FF1A96" w14:textId="276F1870" w:rsidR="00304138" w:rsidRPr="00583E36" w:rsidRDefault="00304138" w:rsidP="008A00C2">
            <w:pPr>
              <w:spacing w:line="276" w:lineRule="auto"/>
              <w:ind w:left="2" w:hanging="2"/>
              <w:jc w:val="both"/>
              <w:rPr>
                <w:rFonts w:cstheme="minorHAnsi"/>
              </w:rPr>
            </w:pPr>
            <w:r w:rsidRPr="00583E36">
              <w:rPr>
                <w:rFonts w:cstheme="minorHAnsi"/>
              </w:rPr>
              <w:t>Se vor avea in vedere:</w:t>
            </w:r>
          </w:p>
          <w:p w14:paraId="2690614E" w14:textId="77777777" w:rsidR="006D2475" w:rsidRPr="00583E36" w:rsidRDefault="006D2475" w:rsidP="008A00C2">
            <w:pPr>
              <w:spacing w:line="276" w:lineRule="auto"/>
              <w:ind w:left="2" w:hanging="2"/>
              <w:jc w:val="both"/>
              <w:rPr>
                <w:rFonts w:cstheme="minorHAnsi"/>
              </w:rPr>
            </w:pPr>
            <w:r w:rsidRPr="00583E36">
              <w:rPr>
                <w:rFonts w:cstheme="minorHAnsi"/>
              </w:rPr>
              <w:t>Utilizarea de materiale de construcții eficiente din punct de vedere ecologic;</w:t>
            </w:r>
          </w:p>
          <w:p w14:paraId="0BF1A8D5" w14:textId="77777777" w:rsidR="006D2475" w:rsidRPr="00583E36" w:rsidRDefault="006D2475" w:rsidP="008A00C2">
            <w:pPr>
              <w:spacing w:line="276" w:lineRule="auto"/>
              <w:ind w:left="2" w:hanging="2"/>
              <w:jc w:val="both"/>
              <w:rPr>
                <w:rFonts w:cstheme="minorHAnsi"/>
              </w:rPr>
            </w:pPr>
            <w:r w:rsidRPr="00583E36">
              <w:rPr>
                <w:rFonts w:cstheme="minorHAnsi"/>
              </w:rPr>
              <w:t>Utilizarea de materiale izolante cu eficiență energetică ridicată care poate reduce consumul de energie necesar pentru încălzirea sau răcirea clădirii și implicit, emisiile de gaze cu efect de seră</w:t>
            </w:r>
          </w:p>
          <w:p w14:paraId="3CE3A27D" w14:textId="77777777" w:rsidR="006D2475" w:rsidRPr="00583E36" w:rsidRDefault="006D2475" w:rsidP="008A00C2">
            <w:pPr>
              <w:spacing w:line="276" w:lineRule="auto"/>
              <w:ind w:left="2" w:hanging="2"/>
              <w:jc w:val="both"/>
              <w:rPr>
                <w:rFonts w:cstheme="minorHAnsi"/>
              </w:rPr>
            </w:pPr>
            <w:r w:rsidRPr="00583E36">
              <w:rPr>
                <w:rFonts w:cstheme="minorHAnsi"/>
              </w:rPr>
              <w:t>Utilizarea de sisteme de iluminat alimentate din surse regenerabile de energie.</w:t>
            </w:r>
          </w:p>
          <w:p w14:paraId="5EF7E4CF" w14:textId="77777777" w:rsidR="00304138" w:rsidRPr="00583E36" w:rsidRDefault="00304138" w:rsidP="008A00C2">
            <w:pPr>
              <w:rPr>
                <w:rFonts w:cstheme="minorHAnsi"/>
              </w:rPr>
            </w:pPr>
          </w:p>
          <w:p w14:paraId="03DD655D" w14:textId="3981B127" w:rsidR="006D2475" w:rsidRPr="00583E36" w:rsidRDefault="00304138" w:rsidP="008A00C2">
            <w:pPr>
              <w:rPr>
                <w:rFonts w:cstheme="minorHAnsi"/>
              </w:rPr>
            </w:pPr>
            <w:r w:rsidRPr="00583E36">
              <w:rPr>
                <w:rFonts w:cstheme="minorHAnsi"/>
              </w:rPr>
              <w:t>Aceste masuri vor fi corelate cu rezultatele analizei privind imunizarea la schimbarile climarice.</w:t>
            </w:r>
          </w:p>
        </w:tc>
      </w:tr>
      <w:tr w:rsidR="006D2475" w:rsidRPr="00583E36" w14:paraId="2C5FA38D" w14:textId="77777777" w:rsidTr="00304138">
        <w:tc>
          <w:tcPr>
            <w:tcW w:w="3114" w:type="dxa"/>
          </w:tcPr>
          <w:p w14:paraId="3E448C8F" w14:textId="77777777" w:rsidR="006D2475" w:rsidRPr="00583E36" w:rsidRDefault="006D2475" w:rsidP="008A00C2">
            <w:pPr>
              <w:rPr>
                <w:rFonts w:cstheme="minorHAnsi"/>
              </w:rPr>
            </w:pPr>
            <w:r w:rsidRPr="00583E36">
              <w:rPr>
                <w:rFonts w:cstheme="minorHAnsi"/>
              </w:rPr>
              <w:t>Adaptarea la schimbările climatice</w:t>
            </w:r>
          </w:p>
          <w:p w14:paraId="66D10D15" w14:textId="6F67C30D" w:rsidR="006D2475" w:rsidRPr="00583E36" w:rsidRDefault="006D2475" w:rsidP="008A00C2">
            <w:pPr>
              <w:rPr>
                <w:rFonts w:cstheme="minorHAnsi"/>
              </w:rPr>
            </w:pPr>
          </w:p>
        </w:tc>
        <w:tc>
          <w:tcPr>
            <w:tcW w:w="6237" w:type="dxa"/>
          </w:tcPr>
          <w:p w14:paraId="7CEFD53D" w14:textId="77777777" w:rsidR="006D2475" w:rsidRPr="00583E36" w:rsidRDefault="006D2475" w:rsidP="008A00C2">
            <w:pPr>
              <w:rPr>
                <w:rFonts w:cstheme="minorHAnsi"/>
              </w:rPr>
            </w:pPr>
            <w:r w:rsidRPr="00583E36">
              <w:rPr>
                <w:rFonts w:cstheme="minorHAnsi"/>
              </w:rPr>
              <w:t>Utilizarea de materiale și tehnici de construcție care să îmbunătățească rezistența clădirii în fața dezastrelor naturale;</w:t>
            </w:r>
          </w:p>
          <w:p w14:paraId="17D4739B" w14:textId="77777777" w:rsidR="006D2475" w:rsidRPr="00583E36" w:rsidRDefault="006D2475" w:rsidP="008A00C2">
            <w:pPr>
              <w:rPr>
                <w:rFonts w:cstheme="minorHAnsi"/>
              </w:rPr>
            </w:pPr>
            <w:r w:rsidRPr="00583E36">
              <w:rPr>
                <w:rFonts w:cstheme="minorHAnsi"/>
              </w:rPr>
              <w:t>Instalarea de sisteme de ventilație eficiente care să mențină o temperatură constantă în clădire (de ex. sisteme de ventilație cu recuperare de căldură pentru a menține temperatura interioară confortabilă în timpul iernii și a reduce necesitatea de încălzire);</w:t>
            </w:r>
          </w:p>
          <w:p w14:paraId="2C184929" w14:textId="77777777" w:rsidR="00304138" w:rsidRPr="00583E36" w:rsidRDefault="00304138" w:rsidP="008A00C2">
            <w:pPr>
              <w:rPr>
                <w:rFonts w:cstheme="minorHAnsi"/>
              </w:rPr>
            </w:pPr>
          </w:p>
          <w:p w14:paraId="4C63D142" w14:textId="0D3C5790" w:rsidR="006D2475" w:rsidRPr="00583E36" w:rsidRDefault="00304138" w:rsidP="008A00C2">
            <w:pPr>
              <w:rPr>
                <w:rFonts w:cstheme="minorHAnsi"/>
              </w:rPr>
            </w:pPr>
            <w:r w:rsidRPr="00583E36">
              <w:rPr>
                <w:rFonts w:cstheme="minorHAnsi"/>
              </w:rPr>
              <w:t>Aceste masuri vor fi corelate cu rezultatele analizei privind imunizarea la schimbarile climarice.</w:t>
            </w:r>
          </w:p>
        </w:tc>
      </w:tr>
      <w:tr w:rsidR="006D2475" w:rsidRPr="00583E36" w14:paraId="57ADC3B4" w14:textId="77777777" w:rsidTr="00304138">
        <w:tc>
          <w:tcPr>
            <w:tcW w:w="3114" w:type="dxa"/>
          </w:tcPr>
          <w:p w14:paraId="6C121224" w14:textId="77777777" w:rsidR="006D2475" w:rsidRPr="00583E36" w:rsidRDefault="006D2475" w:rsidP="008A00C2">
            <w:pPr>
              <w:rPr>
                <w:rFonts w:cstheme="minorHAnsi"/>
              </w:rPr>
            </w:pPr>
            <w:r w:rsidRPr="00583E36">
              <w:rPr>
                <w:rFonts w:cstheme="minorHAnsi"/>
              </w:rPr>
              <w:t>Utilizarea durabilă și protejarea resurselor de apă și a celor marine</w:t>
            </w:r>
          </w:p>
          <w:p w14:paraId="2FD73F89" w14:textId="43DC2442" w:rsidR="006D2475" w:rsidRPr="00583E36" w:rsidRDefault="006D2475" w:rsidP="008A00C2">
            <w:pPr>
              <w:rPr>
                <w:rFonts w:cstheme="minorHAnsi"/>
              </w:rPr>
            </w:pPr>
          </w:p>
        </w:tc>
        <w:tc>
          <w:tcPr>
            <w:tcW w:w="6237" w:type="dxa"/>
          </w:tcPr>
          <w:p w14:paraId="6FAD3A91" w14:textId="77777777" w:rsidR="006D2475" w:rsidRPr="00583E36" w:rsidRDefault="006D2475" w:rsidP="008A00C2">
            <w:pPr>
              <w:rPr>
                <w:rFonts w:cstheme="minorHAnsi"/>
                <w:i/>
                <w:iCs/>
              </w:rPr>
            </w:pPr>
            <w:r w:rsidRPr="00583E36">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63ACB7AC" w14:textId="77777777" w:rsidR="006D2475" w:rsidRPr="00583E36" w:rsidRDefault="006D2475" w:rsidP="008A00C2">
            <w:pPr>
              <w:rPr>
                <w:rFonts w:cstheme="minorHAnsi"/>
              </w:rPr>
            </w:pPr>
            <w:r w:rsidRPr="00583E36">
              <w:rPr>
                <w:rFonts w:cstheme="minorHAnsi"/>
              </w:rPr>
              <w:t>Instalarea de sisteme de canalizare adecvate pentru a preveni scurgerile de apă și poluarea solului și a resurselor de apă.</w:t>
            </w:r>
          </w:p>
          <w:p w14:paraId="740F2A02" w14:textId="77777777" w:rsidR="006D2475" w:rsidRPr="00583E36" w:rsidRDefault="006D2475" w:rsidP="008A00C2">
            <w:pPr>
              <w:rPr>
                <w:rFonts w:cstheme="minorHAnsi"/>
              </w:rPr>
            </w:pPr>
            <w:r w:rsidRPr="00583E36">
              <w:rPr>
                <w:rFonts w:cstheme="minorHAnsi"/>
              </w:rPr>
              <w:t>Utilizarea de materiale de construcție durabile și reciclabile, cum ar fi lemnul, sticla și betonul pot ajuta la reducerea impactului asupra mediului și la protejarea resurselor de apă și marine</w:t>
            </w:r>
          </w:p>
          <w:p w14:paraId="04CB777B" w14:textId="77777777" w:rsidR="006D2475" w:rsidRPr="00583E36" w:rsidRDefault="006D2475" w:rsidP="008A00C2">
            <w:pPr>
              <w:rPr>
                <w:rFonts w:cstheme="minorHAnsi"/>
              </w:rPr>
            </w:pPr>
            <w:r w:rsidRPr="00583E36">
              <w:rPr>
                <w:rFonts w:cstheme="minorHAnsi"/>
              </w:rPr>
              <w:t>Utilizarea de echipamente care consumă mai puțină apă.</w:t>
            </w:r>
          </w:p>
          <w:p w14:paraId="0CB35AC4" w14:textId="77777777" w:rsidR="006D2475" w:rsidRPr="00583E36" w:rsidRDefault="006D2475" w:rsidP="008A00C2">
            <w:pPr>
              <w:rPr>
                <w:rFonts w:cstheme="minorHAnsi"/>
              </w:rPr>
            </w:pPr>
          </w:p>
        </w:tc>
      </w:tr>
      <w:tr w:rsidR="006D2475" w:rsidRPr="00583E36" w14:paraId="040EEFE2" w14:textId="77777777" w:rsidTr="00304138">
        <w:tc>
          <w:tcPr>
            <w:tcW w:w="3114" w:type="dxa"/>
          </w:tcPr>
          <w:p w14:paraId="4039BA90" w14:textId="77777777" w:rsidR="006D2475" w:rsidRPr="00583E36" w:rsidRDefault="006D2475" w:rsidP="008A00C2">
            <w:pPr>
              <w:rPr>
                <w:rFonts w:cstheme="minorHAnsi"/>
              </w:rPr>
            </w:pPr>
            <w:r w:rsidRPr="00583E36">
              <w:rPr>
                <w:rFonts w:cstheme="minorHAnsi"/>
              </w:rPr>
              <w:t>Tranziția către o economie circulară, inclusiv prevenirea generării de deșeuri și reciclarea acestora</w:t>
            </w:r>
          </w:p>
          <w:p w14:paraId="54BD834F" w14:textId="0440C542" w:rsidR="006D2475" w:rsidRPr="00583E36" w:rsidRDefault="006D2475" w:rsidP="008A00C2">
            <w:pPr>
              <w:rPr>
                <w:rFonts w:cstheme="minorHAnsi"/>
              </w:rPr>
            </w:pPr>
          </w:p>
        </w:tc>
        <w:tc>
          <w:tcPr>
            <w:tcW w:w="6237" w:type="dxa"/>
          </w:tcPr>
          <w:p w14:paraId="05635388" w14:textId="6408D8B2" w:rsidR="006D2475" w:rsidRPr="00583E36" w:rsidRDefault="006D2475" w:rsidP="008A00C2">
            <w:pPr>
              <w:rPr>
                <w:rFonts w:cstheme="minorHAnsi"/>
              </w:rPr>
            </w:pPr>
            <w:r w:rsidRPr="00583E36">
              <w:rPr>
                <w:rFonts w:cstheme="minorHAnsi"/>
              </w:rPr>
              <w:t>Proiectare: Utilizarea de materiale durabile care să crească longevitatea clădirii și să reducă necesitatea de intervenții de reabilitare în viitor.</w:t>
            </w:r>
          </w:p>
          <w:p w14:paraId="4E88361D" w14:textId="77777777" w:rsidR="006D2475" w:rsidRPr="00583E36" w:rsidRDefault="006D2475" w:rsidP="008A00C2">
            <w:pPr>
              <w:jc w:val="both"/>
              <w:rPr>
                <w:rFonts w:cstheme="minorHAnsi"/>
                <w:lang w:val="en-IE"/>
              </w:rPr>
            </w:pPr>
            <w:r w:rsidRPr="00583E36">
              <w:rPr>
                <w:rFonts w:cstheme="minorHAnsi"/>
              </w:rPr>
              <w:t xml:space="preserve">Execuție: În timpul procesului de îmbunătățire a eficienței energetice a clădirilor, poate fi generată o cantitate semnificativă de deșeuri, cum ar fi izolația veche, ferestrele și ușile vechi. Aceste deșeuri ar trebui să fie gestionate corespunzător prin reciclare sau eliminare în conformitate cu legislația în vigoare. Executantul lucrării va </w:t>
            </w:r>
            <w:r w:rsidRPr="00583E36">
              <w:rPr>
                <w:rFonts w:cstheme="minorHAnsi"/>
                <w:lang w:val="en-IE"/>
              </w:rPr>
              <w:t>încheia contracte cu societăţi autorizate ce vor asigura eliminarea/valorificarea tuturor tipurilor de deşeuri generate</w:t>
            </w:r>
            <w:r w:rsidRPr="00583E36">
              <w:rPr>
                <w:rFonts w:cstheme="minorHAnsi"/>
              </w:rPr>
              <w:t xml:space="preserve">.  </w:t>
            </w:r>
            <w:r w:rsidRPr="00583E36">
              <w:rPr>
                <w:rFonts w:cstheme="minorHAnsi"/>
                <w:lang w:val="en-IE"/>
              </w:rPr>
              <w:t xml:space="preserve">Toate deşeurile generate în urma proiectelor de investiţii, în toate etapele acestuia, vor fi depozitate temporar doar pe suprafeţe special amenajate în acest sens. </w:t>
            </w:r>
          </w:p>
          <w:p w14:paraId="5A90C8BB" w14:textId="77777777" w:rsidR="006D2475" w:rsidRPr="00583E36" w:rsidRDefault="006D2475" w:rsidP="008A00C2">
            <w:pPr>
              <w:rPr>
                <w:rFonts w:cstheme="minorHAnsi"/>
              </w:rPr>
            </w:pPr>
          </w:p>
          <w:p w14:paraId="7F7191BC" w14:textId="77777777" w:rsidR="006D2475" w:rsidRPr="00583E36" w:rsidRDefault="006D2475" w:rsidP="008A00C2">
            <w:pPr>
              <w:rPr>
                <w:rFonts w:cstheme="minorHAnsi"/>
              </w:rPr>
            </w:pPr>
            <w:r w:rsidRPr="00583E36">
              <w:rPr>
                <w:rFonts w:cstheme="minorHAnsi"/>
              </w:rPr>
              <w:t xml:space="preserve">Se vor face raportări ale cantității de deșeuri generate atât în perioada de execuție cât și în cea de exploatare. </w:t>
            </w:r>
          </w:p>
          <w:p w14:paraId="42F0D767" w14:textId="77777777" w:rsidR="006D2475" w:rsidRPr="00583E36" w:rsidRDefault="006D2475" w:rsidP="008A00C2">
            <w:pPr>
              <w:rPr>
                <w:rFonts w:cstheme="minorHAnsi"/>
              </w:rPr>
            </w:pPr>
            <w:r w:rsidRPr="00583E36">
              <w:rPr>
                <w:rFonts w:cstheme="minorHAnsi"/>
              </w:rPr>
              <w:t xml:space="preserve">- Executantul lucrării va semna un contract cu un operator pentru reciclarea deșeurilor rezultate din investițiile în reabilitare energetică ca măsură de atenuare a criteriului economiei circulare aferent DNSH. </w:t>
            </w:r>
          </w:p>
          <w:p w14:paraId="2C8458DF" w14:textId="77777777" w:rsidR="006D2475" w:rsidRPr="00583E36" w:rsidRDefault="006D2475" w:rsidP="008A00C2">
            <w:pPr>
              <w:rPr>
                <w:rFonts w:cstheme="minorHAnsi"/>
              </w:rPr>
            </w:pPr>
            <w:r w:rsidRPr="00583E36">
              <w:rPr>
                <w:rFonts w:cstheme="minorHAnsi"/>
              </w:rPr>
              <w:t>- În cazul achiziției de echipamente noi solicitantul este obligat să semneze un contract cu un operator pentru reciclarea deșeurilor de hârtie, metal, materiale plastice, sticlă, DEEE-uri provenite din înlocuirea echipamentelor.</w:t>
            </w:r>
          </w:p>
          <w:p w14:paraId="6C521D4E" w14:textId="77777777" w:rsidR="006D2475" w:rsidRPr="00583E36" w:rsidRDefault="006D2475" w:rsidP="008A00C2">
            <w:pPr>
              <w:rPr>
                <w:rFonts w:cstheme="minorHAnsi"/>
              </w:rPr>
            </w:pPr>
            <w:r w:rsidRPr="00583E36">
              <w:rPr>
                <w:rFonts w:cstheme="minorHAnsi"/>
              </w:rPr>
              <w:t>70 % (în greutate) din deșeurile nepericuloase provenite din activități de construcție și demolări și generate pe șantier sunt pregătite pentru reutilizare, reciclare și alte operațiuni de valorificare.</w:t>
            </w:r>
          </w:p>
          <w:p w14:paraId="253B1F51" w14:textId="77777777" w:rsidR="006D2475" w:rsidRPr="00583E36" w:rsidRDefault="006D2475" w:rsidP="008A00C2">
            <w:pPr>
              <w:rPr>
                <w:rFonts w:cstheme="minorHAnsi"/>
              </w:rPr>
            </w:pPr>
            <w:r w:rsidRPr="00583E36">
              <w:rPr>
                <w:rFonts w:cstheme="minorHAnsi"/>
              </w:rPr>
              <w:t>Deşeurile de echipamente electrice și electronice, de exemplu echipamente informatice şi de telecomunicaţii de dimensiuni mici (nicio dimensiune externă mai mare de 50 cm), sunt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682D2224" w14:textId="77777777" w:rsidR="006D2475" w:rsidRPr="00583E36" w:rsidRDefault="006D2475" w:rsidP="008A00C2">
            <w:pPr>
              <w:rPr>
                <w:rFonts w:cstheme="minorHAnsi"/>
                <w:i/>
                <w:iCs/>
              </w:rPr>
            </w:pPr>
            <w:r w:rsidRPr="00583E36">
              <w:rPr>
                <w:rFonts w:cstheme="minorHAnsi"/>
                <w:i/>
                <w:iCs/>
              </w:rPr>
              <w:t>Exploatare:</w:t>
            </w:r>
          </w:p>
          <w:p w14:paraId="337AAB6B" w14:textId="671CF34A" w:rsidR="006D2475" w:rsidRPr="00F4031D" w:rsidRDefault="006D2475" w:rsidP="008A00C2">
            <w:pPr>
              <w:jc w:val="both"/>
              <w:rPr>
                <w:rFonts w:cstheme="minorHAnsi"/>
                <w:lang w:val="en-IE"/>
              </w:rPr>
            </w:pPr>
            <w:r w:rsidRPr="00583E36">
              <w:rPr>
                <w:rFonts w:cstheme="minorHAnsi"/>
                <w:lang w:val="en-IE"/>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6D2475" w:rsidRPr="00583E36" w14:paraId="091FB7A4" w14:textId="77777777" w:rsidTr="00304138">
        <w:tc>
          <w:tcPr>
            <w:tcW w:w="3114" w:type="dxa"/>
          </w:tcPr>
          <w:p w14:paraId="4C155391" w14:textId="77777777" w:rsidR="006D2475" w:rsidRPr="00583E36" w:rsidRDefault="006D2475" w:rsidP="008A00C2">
            <w:pPr>
              <w:rPr>
                <w:rFonts w:cstheme="minorHAnsi"/>
              </w:rPr>
            </w:pPr>
            <w:r w:rsidRPr="00583E36">
              <w:rPr>
                <w:rFonts w:cstheme="minorHAnsi"/>
              </w:rPr>
              <w:t>Prevenirea și controlul poluării</w:t>
            </w:r>
          </w:p>
          <w:p w14:paraId="6933D0CB" w14:textId="0EC3AFED" w:rsidR="006D2475" w:rsidRPr="00583E36" w:rsidRDefault="006D2475" w:rsidP="008A00C2">
            <w:pPr>
              <w:rPr>
                <w:rFonts w:cstheme="minorHAnsi"/>
              </w:rPr>
            </w:pPr>
          </w:p>
        </w:tc>
        <w:tc>
          <w:tcPr>
            <w:tcW w:w="6237" w:type="dxa"/>
          </w:tcPr>
          <w:p w14:paraId="03DDE3E7" w14:textId="77777777" w:rsidR="006D2475" w:rsidRPr="00583E36" w:rsidRDefault="006D2475" w:rsidP="008A00C2">
            <w:pPr>
              <w:rPr>
                <w:rFonts w:cstheme="minorHAnsi"/>
              </w:rPr>
            </w:pPr>
            <w:r w:rsidRPr="00583E36">
              <w:rPr>
                <w:rFonts w:cstheme="minorHAnsi"/>
              </w:rPr>
              <w:t>Identificarea de soluții pentru limitarea suprafețelor de teren ocupate pe perioada construcțiilor pentru a limita impactul negativ asupra solului.</w:t>
            </w:r>
          </w:p>
          <w:p w14:paraId="727CB476" w14:textId="77777777" w:rsidR="006D2475" w:rsidRPr="00583E36" w:rsidRDefault="006D2475" w:rsidP="008A00C2">
            <w:pPr>
              <w:rPr>
                <w:rFonts w:cstheme="minorHAnsi"/>
              </w:rPr>
            </w:pPr>
            <w:r w:rsidRPr="00583E36">
              <w:rPr>
                <w:rFonts w:cstheme="minorHAnsi"/>
              </w:rPr>
              <w:t>Refacerea amplasamentelor afectate de lucrări și organizări de șantier imediat după finalizarea lucrărilor de construcție</w:t>
            </w:r>
          </w:p>
          <w:p w14:paraId="3523FEC4" w14:textId="77777777" w:rsidR="006D2475" w:rsidRPr="00583E36" w:rsidRDefault="006D2475" w:rsidP="008A00C2">
            <w:pPr>
              <w:rPr>
                <w:rFonts w:cstheme="minorHAnsi"/>
              </w:rPr>
            </w:pPr>
            <w:r w:rsidRPr="00583E36">
              <w:rPr>
                <w:rFonts w:cstheme="minorHAnsi"/>
              </w:rPr>
              <w:t>Utilizarea de materiale adecvate care nu conțin materiale radioactive și care nu favorizează acumularea de radon. Evitarea utilizării materialelor de construcție care conțin substanțe toxice (de ex exemplu plumbul).</w:t>
            </w:r>
          </w:p>
          <w:p w14:paraId="40F16E42" w14:textId="017AE80A" w:rsidR="006D2475" w:rsidRPr="00583E36" w:rsidRDefault="001F4208" w:rsidP="008A00C2">
            <w:pPr>
              <w:rPr>
                <w:rFonts w:cstheme="minorHAnsi"/>
              </w:rPr>
            </w:pPr>
            <w:r>
              <w:rPr>
                <w:rFonts w:cstheme="minorHAnsi"/>
              </w:rPr>
              <w:t>I</w:t>
            </w:r>
            <w:r w:rsidR="006D2475" w:rsidRPr="00583E36">
              <w:rPr>
                <w:rFonts w:cstheme="minorHAnsi"/>
              </w:rPr>
              <w:t>nstalarea de sisteme de filtrare adecvate pentru a preveni poluarea aerului și apei (de exemplu filtre pentru emisiile de gaze sau filtre pentru apa uzată).</w:t>
            </w:r>
          </w:p>
        </w:tc>
      </w:tr>
      <w:tr w:rsidR="006D2475" w:rsidRPr="00583E36" w14:paraId="4723A4B6" w14:textId="77777777" w:rsidTr="00304138">
        <w:tc>
          <w:tcPr>
            <w:tcW w:w="3114" w:type="dxa"/>
          </w:tcPr>
          <w:p w14:paraId="20D4C401" w14:textId="77777777" w:rsidR="006D2475" w:rsidRPr="00583E36" w:rsidRDefault="006D2475" w:rsidP="008A00C2">
            <w:pPr>
              <w:rPr>
                <w:rFonts w:cstheme="minorHAnsi"/>
              </w:rPr>
            </w:pPr>
            <w:r w:rsidRPr="00583E36">
              <w:rPr>
                <w:rFonts w:cstheme="minorHAnsi"/>
              </w:rPr>
              <w:t>Protecția și refacerea biodiversității și a ecosistemelor</w:t>
            </w:r>
          </w:p>
          <w:p w14:paraId="213A1B26" w14:textId="4479C692" w:rsidR="006D2475" w:rsidRPr="00583E36" w:rsidRDefault="006D2475" w:rsidP="008A00C2">
            <w:pPr>
              <w:rPr>
                <w:rFonts w:cstheme="minorHAnsi"/>
              </w:rPr>
            </w:pPr>
          </w:p>
        </w:tc>
        <w:tc>
          <w:tcPr>
            <w:tcW w:w="6237" w:type="dxa"/>
          </w:tcPr>
          <w:p w14:paraId="4D303DDF" w14:textId="77777777" w:rsidR="006D2475" w:rsidRPr="00583E36" w:rsidRDefault="006D2475" w:rsidP="008A00C2">
            <w:pPr>
              <w:rPr>
                <w:rFonts w:cstheme="minorHAnsi"/>
              </w:rPr>
            </w:pPr>
            <w:r w:rsidRPr="00583E36">
              <w:rPr>
                <w:rFonts w:cstheme="minorHAnsi"/>
              </w:rPr>
              <w:t>Utilizarea materialelor ecologice și durabile care nu afectează negativ biodiversitatea (de exemplu materiale de construcție reciclabile sau biodegradabile, care nu au un impact negativ asupra mediului)</w:t>
            </w:r>
          </w:p>
          <w:p w14:paraId="1E769AF6" w14:textId="5891C539" w:rsidR="006D2475" w:rsidRPr="00583E36" w:rsidRDefault="006D2475" w:rsidP="008A00C2">
            <w:pPr>
              <w:rPr>
                <w:rFonts w:cstheme="minorHAnsi"/>
              </w:rPr>
            </w:pPr>
            <w:r w:rsidRPr="00583E36">
              <w:rPr>
                <w:rFonts w:cstheme="minorHAnsi"/>
              </w:rPr>
              <w:t>Implementarea proiectelor prin păstrarea procentajului de spații verzi și elementelor de cadru natural aferente zonei</w:t>
            </w:r>
          </w:p>
        </w:tc>
      </w:tr>
    </w:tbl>
    <w:p w14:paraId="213C0572" w14:textId="77777777" w:rsidR="006D2475" w:rsidRDefault="006D2475">
      <w:pPr>
        <w:rPr>
          <w:color w:val="000000" w:themeColor="text1"/>
          <w:lang w:val="ro-RO"/>
        </w:rPr>
      </w:pPr>
    </w:p>
    <w:p w14:paraId="487C6CAE" w14:textId="74CE5AEE" w:rsidR="006D2475" w:rsidRDefault="006D2475">
      <w:pPr>
        <w:rPr>
          <w:color w:val="000000" w:themeColor="text1"/>
          <w:lang w:val="ro-RO"/>
        </w:rPr>
      </w:pPr>
      <w:r>
        <w:rPr>
          <w:color w:val="000000" w:themeColor="text1"/>
          <w:lang w:val="ro-RO"/>
        </w:rPr>
        <w:t>In etapa de evaluare tehnica si financiara</w:t>
      </w:r>
      <w:r w:rsidR="00D4690A">
        <w:rPr>
          <w:color w:val="000000" w:themeColor="text1"/>
          <w:lang w:val="ro-RO"/>
        </w:rPr>
        <w:t>,</w:t>
      </w:r>
      <w:r>
        <w:rPr>
          <w:color w:val="000000" w:themeColor="text1"/>
          <w:lang w:val="ro-RO"/>
        </w:rPr>
        <w:t xml:space="preserve"> verificarea respectarii aspectelor descrise mai sus se va face folosind urmatoarele criterii:</w:t>
      </w:r>
    </w:p>
    <w:tbl>
      <w:tblPr>
        <w:tblStyle w:val="TableGrid"/>
        <w:tblW w:w="9210" w:type="dxa"/>
        <w:tblLook w:val="04A0" w:firstRow="1" w:lastRow="0" w:firstColumn="1" w:lastColumn="0" w:noHBand="0" w:noVBand="1"/>
      </w:tblPr>
      <w:tblGrid>
        <w:gridCol w:w="491"/>
        <w:gridCol w:w="3185"/>
        <w:gridCol w:w="800"/>
        <w:gridCol w:w="4734"/>
      </w:tblGrid>
      <w:tr w:rsidR="00FB124B" w:rsidRPr="00D4690A" w14:paraId="11956239" w14:textId="77777777" w:rsidTr="008C469F">
        <w:trPr>
          <w:tblHeader/>
        </w:trPr>
        <w:tc>
          <w:tcPr>
            <w:tcW w:w="491" w:type="dxa"/>
          </w:tcPr>
          <w:p w14:paraId="74CFD7C9" w14:textId="77777777" w:rsidR="00FB124B" w:rsidRPr="00D4690A" w:rsidRDefault="00FB124B" w:rsidP="00BE45CF">
            <w:pPr>
              <w:pStyle w:val="Bodytext10"/>
              <w:spacing w:after="100"/>
              <w:jc w:val="center"/>
              <w:rPr>
                <w:rFonts w:cstheme="minorHAnsi"/>
              </w:rPr>
            </w:pPr>
            <w:r w:rsidRPr="00D4690A">
              <w:rPr>
                <w:rFonts w:cstheme="minorHAnsi"/>
              </w:rPr>
              <w:t>Nr.</w:t>
            </w:r>
          </w:p>
        </w:tc>
        <w:tc>
          <w:tcPr>
            <w:tcW w:w="3185" w:type="dxa"/>
          </w:tcPr>
          <w:p w14:paraId="649624DE" w14:textId="77777777" w:rsidR="00FB124B" w:rsidRPr="00D4690A" w:rsidRDefault="00FB124B" w:rsidP="008A00C2">
            <w:pPr>
              <w:pStyle w:val="Bodytext10"/>
              <w:spacing w:after="100"/>
              <w:jc w:val="center"/>
              <w:rPr>
                <w:rFonts w:cstheme="minorHAnsi"/>
              </w:rPr>
            </w:pPr>
            <w:r w:rsidRPr="00D4690A">
              <w:rPr>
                <w:rFonts w:cstheme="minorHAnsi"/>
              </w:rPr>
              <w:t>Criteriu evaluare</w:t>
            </w:r>
          </w:p>
        </w:tc>
        <w:tc>
          <w:tcPr>
            <w:tcW w:w="800" w:type="dxa"/>
          </w:tcPr>
          <w:p w14:paraId="6F113362" w14:textId="6E242BE7" w:rsidR="00FB124B" w:rsidRPr="00D4690A" w:rsidRDefault="00FB124B" w:rsidP="008A00C2">
            <w:pPr>
              <w:pStyle w:val="Bodytext10"/>
              <w:spacing w:after="100"/>
              <w:jc w:val="both"/>
              <w:rPr>
                <w:rFonts w:cstheme="minorHAnsi"/>
              </w:rPr>
            </w:pPr>
            <w:r w:rsidRPr="00D4690A">
              <w:rPr>
                <w:rFonts w:cstheme="minorHAnsi"/>
              </w:rPr>
              <w:t>Da/Nu</w:t>
            </w:r>
          </w:p>
        </w:tc>
        <w:tc>
          <w:tcPr>
            <w:tcW w:w="4734" w:type="dxa"/>
          </w:tcPr>
          <w:p w14:paraId="042B70DC" w14:textId="7206A5C9" w:rsidR="00FB124B" w:rsidRPr="00D4690A" w:rsidRDefault="00FB124B" w:rsidP="008A00C2">
            <w:pPr>
              <w:pStyle w:val="Bodytext10"/>
              <w:spacing w:after="100"/>
              <w:jc w:val="both"/>
              <w:rPr>
                <w:rFonts w:cstheme="minorHAnsi"/>
              </w:rPr>
            </w:pPr>
            <w:r w:rsidRPr="00D4690A">
              <w:rPr>
                <w:rFonts w:cstheme="minorHAnsi"/>
              </w:rPr>
              <w:t>Aspecte verificate</w:t>
            </w:r>
          </w:p>
        </w:tc>
      </w:tr>
      <w:tr w:rsidR="00FB124B" w:rsidRPr="00D4690A" w14:paraId="361E2429" w14:textId="77777777" w:rsidTr="000E391D">
        <w:tc>
          <w:tcPr>
            <w:tcW w:w="491" w:type="dxa"/>
          </w:tcPr>
          <w:p w14:paraId="7A694E7E" w14:textId="741CD099" w:rsidR="00FB124B" w:rsidRPr="00D4690A" w:rsidRDefault="00BE45CF" w:rsidP="00BE45CF">
            <w:pPr>
              <w:pStyle w:val="Bodytext10"/>
              <w:spacing w:after="100"/>
              <w:jc w:val="center"/>
              <w:rPr>
                <w:rFonts w:cstheme="minorHAnsi"/>
              </w:rPr>
            </w:pPr>
            <w:r>
              <w:rPr>
                <w:rFonts w:cstheme="minorHAnsi"/>
              </w:rPr>
              <w:t>1</w:t>
            </w:r>
          </w:p>
        </w:tc>
        <w:tc>
          <w:tcPr>
            <w:tcW w:w="3185" w:type="dxa"/>
          </w:tcPr>
          <w:p w14:paraId="34F52758" w14:textId="77777777" w:rsidR="00FB124B" w:rsidRPr="00D4690A" w:rsidRDefault="00FB124B" w:rsidP="008A00C2">
            <w:pPr>
              <w:pStyle w:val="Bodytext10"/>
              <w:spacing w:after="100"/>
              <w:jc w:val="both"/>
              <w:rPr>
                <w:rFonts w:cstheme="minorHAnsi"/>
              </w:rPr>
            </w:pPr>
            <w:r w:rsidRPr="00D4690A">
              <w:rPr>
                <w:rFonts w:cstheme="minorHAnsi"/>
              </w:rPr>
              <w:t>Au fost prevăzute măsuri privind atenuarea emisiilor GES, cu respectarea legislației in vigoare? (detaliere măsuri)</w:t>
            </w:r>
          </w:p>
        </w:tc>
        <w:tc>
          <w:tcPr>
            <w:tcW w:w="800" w:type="dxa"/>
          </w:tcPr>
          <w:p w14:paraId="3BF32047" w14:textId="77777777" w:rsidR="00FB124B" w:rsidRPr="00D4690A" w:rsidRDefault="00FB124B" w:rsidP="008A00C2">
            <w:pPr>
              <w:pStyle w:val="Bodytext10"/>
              <w:spacing w:after="100"/>
              <w:jc w:val="both"/>
              <w:rPr>
                <w:rFonts w:cstheme="minorHAnsi"/>
              </w:rPr>
            </w:pPr>
          </w:p>
        </w:tc>
        <w:tc>
          <w:tcPr>
            <w:tcW w:w="4734" w:type="dxa"/>
          </w:tcPr>
          <w:p w14:paraId="66D412AF" w14:textId="067CC03B" w:rsidR="00FB124B" w:rsidRPr="00D4690A" w:rsidRDefault="00FB124B" w:rsidP="008A00C2">
            <w:pPr>
              <w:pStyle w:val="Bodytext10"/>
              <w:spacing w:after="100"/>
              <w:jc w:val="both"/>
              <w:rPr>
                <w:rFonts w:cstheme="minorHAnsi"/>
              </w:rPr>
            </w:pPr>
            <w:r w:rsidRPr="00D4690A">
              <w:rPr>
                <w:rFonts w:cstheme="minorHAnsi"/>
              </w:rPr>
              <w:t>Regimul de utilizare al cladirii (clădirea nu este utilizată pentru extracția, depozitarea, transportul sau producția de combustibili fosili).</w:t>
            </w:r>
          </w:p>
          <w:p w14:paraId="5FD9805C" w14:textId="0922FF65" w:rsidR="00FB124B" w:rsidRPr="00D4690A" w:rsidRDefault="00FB124B" w:rsidP="008A00C2">
            <w:pPr>
              <w:pStyle w:val="Bodytext10"/>
              <w:spacing w:after="100"/>
              <w:jc w:val="both"/>
              <w:rPr>
                <w:rFonts w:cstheme="minorHAnsi"/>
              </w:rPr>
            </w:pPr>
            <w:r w:rsidRPr="00D4690A">
              <w:rPr>
                <w:rFonts w:cstheme="minorHAnsi"/>
              </w:rPr>
              <w:t>Prin proiect se are în vedere instalarea unor sisteme alternative de producere a energiei: surse regenerabile de energie, în scopul reducerii consumurilor energetice din surse convenționale şi a emisiilor de gaze cu efect de seră?</w:t>
            </w:r>
          </w:p>
        </w:tc>
      </w:tr>
      <w:tr w:rsidR="00FB124B" w:rsidRPr="00D4690A" w14:paraId="6C32EBA4" w14:textId="77777777" w:rsidTr="000E391D">
        <w:tc>
          <w:tcPr>
            <w:tcW w:w="491" w:type="dxa"/>
          </w:tcPr>
          <w:p w14:paraId="3D5E1176" w14:textId="107B6CA1" w:rsidR="00FB124B" w:rsidRPr="00D4690A" w:rsidRDefault="00BE45CF" w:rsidP="00BE45CF">
            <w:pPr>
              <w:pStyle w:val="Bodytext10"/>
              <w:spacing w:after="100"/>
              <w:jc w:val="center"/>
              <w:rPr>
                <w:rFonts w:cstheme="minorHAnsi"/>
              </w:rPr>
            </w:pPr>
            <w:r>
              <w:rPr>
                <w:rFonts w:cstheme="minorHAnsi"/>
              </w:rPr>
              <w:t>2</w:t>
            </w:r>
          </w:p>
        </w:tc>
        <w:tc>
          <w:tcPr>
            <w:tcW w:w="3185" w:type="dxa"/>
          </w:tcPr>
          <w:p w14:paraId="5CD0AA2A" w14:textId="77777777" w:rsidR="00FB124B" w:rsidRPr="00D4690A" w:rsidRDefault="00FB124B" w:rsidP="008A00C2">
            <w:pPr>
              <w:pStyle w:val="Bodytext10"/>
              <w:spacing w:after="100"/>
              <w:jc w:val="both"/>
              <w:rPr>
                <w:rFonts w:cstheme="minorHAnsi"/>
              </w:rPr>
            </w:pPr>
            <w:r w:rsidRPr="00D4690A">
              <w:rPr>
                <w:rFonts w:cstheme="minorHAnsi"/>
              </w:rPr>
              <w:t>Au fost prevăzute măsuri de adaptare la schimbarile climatice a infrastructurii vizate, cu respectarea legislației in vigoare? (detaliere măsuri)</w:t>
            </w:r>
          </w:p>
        </w:tc>
        <w:tc>
          <w:tcPr>
            <w:tcW w:w="800" w:type="dxa"/>
          </w:tcPr>
          <w:p w14:paraId="4C1D0657" w14:textId="77777777" w:rsidR="00FB124B" w:rsidRPr="00D4690A" w:rsidRDefault="00FB124B" w:rsidP="008A00C2">
            <w:pPr>
              <w:pStyle w:val="Bodytext10"/>
              <w:spacing w:after="100"/>
              <w:jc w:val="both"/>
              <w:rPr>
                <w:rFonts w:cstheme="minorHAnsi"/>
              </w:rPr>
            </w:pPr>
          </w:p>
        </w:tc>
        <w:tc>
          <w:tcPr>
            <w:tcW w:w="4734" w:type="dxa"/>
          </w:tcPr>
          <w:p w14:paraId="3320BF28" w14:textId="77777777" w:rsidR="00FB124B" w:rsidRPr="00D4690A" w:rsidRDefault="00FB124B" w:rsidP="008A00C2">
            <w:pPr>
              <w:pStyle w:val="Bodytext10"/>
              <w:spacing w:after="100"/>
              <w:jc w:val="both"/>
              <w:rPr>
                <w:rFonts w:cstheme="minorHAnsi"/>
              </w:rPr>
            </w:pPr>
            <w:r w:rsidRPr="00D4690A">
              <w:rPr>
                <w:rFonts w:cstheme="minorHAnsi"/>
              </w:rPr>
              <w:t>Prin proiect se are în vederea optimizarea sistemelor tehnice din clădirile renovate pentru a oferi confort termic ocupanților chiar și în temperaturile extreme respective?</w:t>
            </w:r>
          </w:p>
          <w:p w14:paraId="787CF0E8" w14:textId="3FFD71BF" w:rsidR="00FB124B" w:rsidRPr="00D4690A" w:rsidRDefault="00D4690A" w:rsidP="008A00C2">
            <w:pPr>
              <w:pStyle w:val="Bodytext10"/>
              <w:spacing w:after="100"/>
              <w:jc w:val="both"/>
              <w:rPr>
                <w:rFonts w:cstheme="minorHAnsi"/>
              </w:rPr>
            </w:pPr>
            <w:r w:rsidRPr="00D4690A">
              <w:rPr>
                <w:rFonts w:cstheme="minorHAnsi"/>
              </w:rPr>
              <w:t>Prin proiect se asigură un nivel ridicat de etanșeitate la aer a clădirii,  prin aplicarea de tehnologii adecvate de reducere a permeabilității la aer a elementelor de anvelopă opace și asigurarea continuității stratului etanș la nivelul anvelopei clădirii și montarea corespunzătoare a tâmplăriei termoizolante?</w:t>
            </w:r>
          </w:p>
        </w:tc>
      </w:tr>
      <w:tr w:rsidR="000E391D" w:rsidRPr="00D4690A" w14:paraId="14AFF6DB" w14:textId="77777777" w:rsidTr="000E391D">
        <w:tc>
          <w:tcPr>
            <w:tcW w:w="491" w:type="dxa"/>
          </w:tcPr>
          <w:p w14:paraId="1D47096A" w14:textId="3E33F611" w:rsidR="000E391D" w:rsidRDefault="000E391D" w:rsidP="000E391D">
            <w:pPr>
              <w:pStyle w:val="Bodytext10"/>
              <w:spacing w:after="100"/>
              <w:jc w:val="center"/>
              <w:rPr>
                <w:rFonts w:cstheme="minorHAnsi"/>
              </w:rPr>
            </w:pPr>
            <w:r>
              <w:rPr>
                <w:rFonts w:cstheme="minorHAnsi"/>
              </w:rPr>
              <w:t>3</w:t>
            </w:r>
          </w:p>
        </w:tc>
        <w:tc>
          <w:tcPr>
            <w:tcW w:w="3185" w:type="dxa"/>
          </w:tcPr>
          <w:p w14:paraId="4940F43C" w14:textId="2D53736B" w:rsidR="000E391D" w:rsidRPr="00D4690A" w:rsidRDefault="000E391D" w:rsidP="000E391D">
            <w:pPr>
              <w:pStyle w:val="Bodytext10"/>
              <w:spacing w:after="100"/>
              <w:jc w:val="both"/>
              <w:rPr>
                <w:rFonts w:cstheme="minorHAnsi"/>
              </w:rPr>
            </w:pPr>
            <w:r w:rsidRPr="00D4690A">
              <w:rPr>
                <w:rFonts w:cstheme="minorHAnsi"/>
              </w:rPr>
              <w:t>Au fost prevăzute măsuri privind utilizarea durabilă și protejarea resurselor de apă, cu respectarea legislației in vigoare? (detaliere măsuri)</w:t>
            </w:r>
          </w:p>
        </w:tc>
        <w:tc>
          <w:tcPr>
            <w:tcW w:w="800" w:type="dxa"/>
          </w:tcPr>
          <w:p w14:paraId="5BE67BA2" w14:textId="77777777" w:rsidR="000E391D" w:rsidRPr="00D4690A" w:rsidRDefault="000E391D" w:rsidP="000E391D">
            <w:pPr>
              <w:pStyle w:val="Bodytext10"/>
              <w:spacing w:after="100"/>
              <w:jc w:val="both"/>
              <w:rPr>
                <w:rFonts w:cstheme="minorHAnsi"/>
              </w:rPr>
            </w:pPr>
          </w:p>
        </w:tc>
        <w:tc>
          <w:tcPr>
            <w:tcW w:w="4734" w:type="dxa"/>
          </w:tcPr>
          <w:p w14:paraId="203811A9" w14:textId="77777777" w:rsidR="000E391D" w:rsidRDefault="000E391D" w:rsidP="000E391D">
            <w:pPr>
              <w:pStyle w:val="Bodytext10"/>
              <w:spacing w:after="100"/>
              <w:jc w:val="both"/>
              <w:rPr>
                <w:rFonts w:cstheme="minorHAnsi"/>
              </w:rPr>
            </w:pPr>
            <w:r w:rsidRPr="00BE45CF">
              <w:rPr>
                <w:rFonts w:cstheme="minorHAnsi"/>
              </w:rPr>
              <w:t>Proiectul 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w:t>
            </w:r>
          </w:p>
          <w:p w14:paraId="3421EDE3" w14:textId="54784243" w:rsidR="000E391D" w:rsidRPr="00D4690A" w:rsidRDefault="000E391D" w:rsidP="000E391D">
            <w:pPr>
              <w:pStyle w:val="Bodytext10"/>
              <w:spacing w:after="100"/>
              <w:jc w:val="both"/>
              <w:rPr>
                <w:rFonts w:cstheme="minorHAnsi"/>
              </w:rPr>
            </w:pPr>
            <w:r>
              <w:rPr>
                <w:rFonts w:cstheme="minorHAnsi"/>
              </w:rPr>
              <w:t>Este prevazuta utilizarea echipamentelor/instalatiilor cu consum redus de apa</w:t>
            </w:r>
            <w:r w:rsidR="001F4208">
              <w:rPr>
                <w:rFonts w:cstheme="minorHAnsi"/>
              </w:rPr>
              <w:t>,</w:t>
            </w:r>
            <w:r>
              <w:rPr>
                <w:rFonts w:cstheme="minorHAnsi"/>
              </w:rPr>
              <w:t xml:space="preserve"> atat pe perioada lucrarilor cat si pe perioada exploatarii?</w:t>
            </w:r>
          </w:p>
        </w:tc>
      </w:tr>
      <w:tr w:rsidR="000E391D" w:rsidRPr="00D4690A" w14:paraId="0EA0809C" w14:textId="77777777" w:rsidTr="000E391D">
        <w:tc>
          <w:tcPr>
            <w:tcW w:w="491" w:type="dxa"/>
          </w:tcPr>
          <w:p w14:paraId="7886DA0D" w14:textId="72C9C670" w:rsidR="000E391D" w:rsidRPr="00D4690A" w:rsidRDefault="000E391D" w:rsidP="000E391D">
            <w:pPr>
              <w:pStyle w:val="Bodytext10"/>
              <w:spacing w:after="100"/>
              <w:jc w:val="center"/>
              <w:rPr>
                <w:rFonts w:cstheme="minorHAnsi"/>
              </w:rPr>
            </w:pPr>
            <w:r>
              <w:rPr>
                <w:rFonts w:cstheme="minorHAnsi"/>
              </w:rPr>
              <w:t>4</w:t>
            </w:r>
          </w:p>
        </w:tc>
        <w:tc>
          <w:tcPr>
            <w:tcW w:w="3185" w:type="dxa"/>
          </w:tcPr>
          <w:p w14:paraId="68681F14" w14:textId="77777777" w:rsidR="000E391D" w:rsidRPr="00D4690A" w:rsidRDefault="000E391D" w:rsidP="000E391D">
            <w:pPr>
              <w:pStyle w:val="Bodytext10"/>
              <w:spacing w:after="100"/>
              <w:jc w:val="both"/>
              <w:rPr>
                <w:rFonts w:cstheme="minorHAnsi"/>
              </w:rPr>
            </w:pPr>
            <w:r w:rsidRPr="00D4690A">
              <w:rPr>
                <w:rFonts w:cstheme="minorHAnsi"/>
              </w:rPr>
              <w:t>Au fost prevăzute măsuri de limitare a generării deseurilor, precum și solutiilor de reutilizare, reciclare și valorificare a deșeurilor rezultate în procesul de execuție, cu respectarea legislației in vigoare? (detaliere măsuri)</w:t>
            </w:r>
          </w:p>
        </w:tc>
        <w:tc>
          <w:tcPr>
            <w:tcW w:w="800" w:type="dxa"/>
          </w:tcPr>
          <w:p w14:paraId="7D7D33EE" w14:textId="77777777" w:rsidR="000E391D" w:rsidRPr="00D4690A" w:rsidRDefault="000E391D" w:rsidP="000E391D">
            <w:pPr>
              <w:pStyle w:val="Bodytext10"/>
              <w:spacing w:after="100"/>
              <w:jc w:val="both"/>
              <w:rPr>
                <w:rFonts w:cstheme="minorHAnsi"/>
              </w:rPr>
            </w:pPr>
          </w:p>
        </w:tc>
        <w:tc>
          <w:tcPr>
            <w:tcW w:w="4734" w:type="dxa"/>
          </w:tcPr>
          <w:p w14:paraId="21F162E1" w14:textId="77777777" w:rsidR="000E391D" w:rsidRDefault="000E391D" w:rsidP="000E391D">
            <w:pPr>
              <w:pStyle w:val="Bodytext10"/>
              <w:spacing w:after="100"/>
              <w:jc w:val="both"/>
              <w:rPr>
                <w:rFonts w:cstheme="minorHAnsi"/>
              </w:rPr>
            </w:pPr>
            <w:r w:rsidRPr="00BE45CF">
              <w:rPr>
                <w:rFonts w:cstheme="minorHAnsi"/>
              </w:rPr>
              <w:t>Prin proiect se are în vedere ca 70 % (în greutate) din deșeurile nepericuloase provenite din activități de construcție și demolări și generate pe șantier să fie pregătite pentru reutilizare, reciclare și alte operațiuni de valorificare?</w:t>
            </w:r>
          </w:p>
          <w:p w14:paraId="356C164E" w14:textId="4D6FB1B9" w:rsidR="000E391D" w:rsidRPr="00D4690A" w:rsidRDefault="000E391D" w:rsidP="000E391D">
            <w:pPr>
              <w:pStyle w:val="Bodytext10"/>
              <w:spacing w:after="100"/>
              <w:jc w:val="both"/>
              <w:rPr>
                <w:rFonts w:cstheme="minorHAnsi"/>
              </w:rPr>
            </w:pPr>
            <w:r w:rsidRPr="00BE45CF">
              <w:rPr>
                <w:rFonts w:cstheme="minorHAnsi"/>
              </w:rPr>
              <w:t>Prin proiect se asigură, în toate etapele, o gestiune corespunzătoare a deșeurilor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r>
              <w:rPr>
                <w:rFonts w:cstheme="minorHAnsi"/>
              </w:rPr>
              <w:t>?</w:t>
            </w:r>
          </w:p>
        </w:tc>
      </w:tr>
      <w:tr w:rsidR="000E391D" w:rsidRPr="00D4690A" w14:paraId="1456150B" w14:textId="77777777" w:rsidTr="000E391D">
        <w:tc>
          <w:tcPr>
            <w:tcW w:w="491" w:type="dxa"/>
          </w:tcPr>
          <w:p w14:paraId="3E72A515" w14:textId="303FF21D" w:rsidR="000E391D" w:rsidRPr="00D4690A" w:rsidRDefault="000E391D" w:rsidP="000E391D">
            <w:pPr>
              <w:pStyle w:val="Bodytext10"/>
              <w:spacing w:after="100"/>
              <w:jc w:val="center"/>
              <w:rPr>
                <w:rFonts w:cstheme="minorHAnsi"/>
              </w:rPr>
            </w:pPr>
            <w:r>
              <w:rPr>
                <w:rFonts w:cstheme="minorHAnsi"/>
              </w:rPr>
              <w:t>5</w:t>
            </w:r>
          </w:p>
        </w:tc>
        <w:tc>
          <w:tcPr>
            <w:tcW w:w="3185" w:type="dxa"/>
          </w:tcPr>
          <w:p w14:paraId="4F33EA40" w14:textId="77777777" w:rsidR="000E391D" w:rsidRPr="00D4690A" w:rsidRDefault="000E391D" w:rsidP="000E391D">
            <w:pPr>
              <w:pStyle w:val="Bodytext10"/>
              <w:spacing w:after="100"/>
              <w:jc w:val="both"/>
              <w:rPr>
                <w:rFonts w:cstheme="minorHAnsi"/>
              </w:rPr>
            </w:pPr>
            <w:r w:rsidRPr="00D4690A">
              <w:rPr>
                <w:rFonts w:cstheme="minorHAnsi"/>
              </w:rPr>
              <w:t>Au fost prevăzute măsuri de reducere a emisiei poluanților în aer și/sau în apă și/sau în sol, cu respectarea legislației in vigoare? (detaliere măsuri)</w:t>
            </w:r>
          </w:p>
        </w:tc>
        <w:tc>
          <w:tcPr>
            <w:tcW w:w="800" w:type="dxa"/>
          </w:tcPr>
          <w:p w14:paraId="15AE6801" w14:textId="77777777" w:rsidR="000E391D" w:rsidRPr="00D4690A" w:rsidRDefault="000E391D" w:rsidP="000E391D">
            <w:pPr>
              <w:pStyle w:val="Bodytext10"/>
              <w:spacing w:after="100"/>
              <w:jc w:val="both"/>
              <w:rPr>
                <w:rFonts w:cstheme="minorHAnsi"/>
              </w:rPr>
            </w:pPr>
          </w:p>
        </w:tc>
        <w:tc>
          <w:tcPr>
            <w:tcW w:w="4734" w:type="dxa"/>
          </w:tcPr>
          <w:p w14:paraId="06E7DB6B" w14:textId="11EE88F9" w:rsidR="001F4208" w:rsidRDefault="001F4208" w:rsidP="000E391D">
            <w:pPr>
              <w:pStyle w:val="Bodytext10"/>
              <w:spacing w:after="100"/>
              <w:jc w:val="both"/>
              <w:rPr>
                <w:rFonts w:cstheme="minorHAnsi"/>
              </w:rPr>
            </w:pPr>
            <w:r w:rsidRPr="001F4208">
              <w:rPr>
                <w:rFonts w:cstheme="minorHAnsi"/>
              </w:rPr>
              <w:t>Prin proiect se asigură utilizarea materialelor</w:t>
            </w:r>
            <w:r>
              <w:rPr>
                <w:rFonts w:cstheme="minorHAnsi"/>
              </w:rPr>
              <w:t xml:space="preserve"> si tehnologiilor</w:t>
            </w:r>
            <w:r w:rsidRPr="001F4208">
              <w:rPr>
                <w:rFonts w:cstheme="minorHAnsi"/>
              </w:rPr>
              <w:t xml:space="preserve"> de construcții care conduc la reducerea zgomotului, a prafului și a emisiilor poluante î</w:t>
            </w:r>
            <w:r w:rsidR="00185C6E">
              <w:rPr>
                <w:rFonts w:cstheme="minorHAnsi"/>
              </w:rPr>
              <w:t>n timpul lucrărilor de renovare sau sunt prevazute masuri de reducere a acestor emisii?</w:t>
            </w:r>
          </w:p>
          <w:p w14:paraId="55C0365E" w14:textId="77777777" w:rsidR="000E391D" w:rsidRDefault="000E391D" w:rsidP="000E391D">
            <w:pPr>
              <w:pStyle w:val="Bodytext10"/>
              <w:spacing w:after="100"/>
              <w:jc w:val="both"/>
              <w:rPr>
                <w:rFonts w:cstheme="minorHAnsi"/>
              </w:rPr>
            </w:pPr>
            <w:r>
              <w:rPr>
                <w:rFonts w:cstheme="minorHAnsi"/>
              </w:rPr>
              <w:t>Este prevazuta i</w:t>
            </w:r>
            <w:r w:rsidRPr="00583E36">
              <w:rPr>
                <w:rFonts w:cstheme="minorHAnsi"/>
              </w:rPr>
              <w:t>nstalarea de sisteme de canalizare adecvate pentru a preveni scurgerile de apă și poluarea</w:t>
            </w:r>
            <w:r>
              <w:rPr>
                <w:rFonts w:cstheme="minorHAnsi"/>
              </w:rPr>
              <w:t xml:space="preserve"> solului și a resurselor de apă?</w:t>
            </w:r>
          </w:p>
          <w:p w14:paraId="63246813" w14:textId="77777777" w:rsidR="001F4208" w:rsidRDefault="001F4208" w:rsidP="000E391D">
            <w:pPr>
              <w:pStyle w:val="Bodytext10"/>
              <w:spacing w:after="100"/>
              <w:jc w:val="both"/>
              <w:rPr>
                <w:rFonts w:cstheme="minorHAnsi"/>
              </w:rPr>
            </w:pPr>
            <w:r w:rsidRPr="001F4208">
              <w:rPr>
                <w:rFonts w:cstheme="minorHAnsi"/>
              </w:rPr>
              <w:t>Prin proiect se asigură că materialele de construcție și componentele utilizate la renovarea clădirii nu conțin azbest și nici substanțe care prezintă motive de îngrijorare deosebită?</w:t>
            </w:r>
          </w:p>
          <w:p w14:paraId="5D23C69E" w14:textId="77777777" w:rsidR="001F4208" w:rsidRDefault="001F4208" w:rsidP="000E391D">
            <w:pPr>
              <w:pStyle w:val="Bodytext10"/>
              <w:spacing w:after="100"/>
              <w:jc w:val="both"/>
              <w:rPr>
                <w:rFonts w:cstheme="minorHAnsi"/>
              </w:rPr>
            </w:pPr>
            <w:r w:rsidRPr="001F4208">
              <w:rPr>
                <w:rFonts w:cstheme="minorHAnsi"/>
              </w:rPr>
              <w:t>Prin proiect se au în vedere  măsuri privind îmbunătățirea calității aerului  interior, prin evitarea utilizării de  materiale de construcție, ce conțin substanțe precum formaldehida (din placaj), compuși organici volatili cancerigeni  și substanțele ignifuge din numeroase materiale sau radonul care provine, atât din soluri, cât și din materialele de construcție?</w:t>
            </w:r>
          </w:p>
          <w:p w14:paraId="3738AD1D" w14:textId="1EAC71AD" w:rsidR="001F4208" w:rsidRPr="00D4690A" w:rsidRDefault="001F4208" w:rsidP="000E391D">
            <w:pPr>
              <w:pStyle w:val="Bodytext10"/>
              <w:spacing w:after="100"/>
              <w:jc w:val="both"/>
              <w:rPr>
                <w:rFonts w:cstheme="minorHAnsi"/>
              </w:rPr>
            </w:pPr>
            <w:r w:rsidRPr="001F4208">
              <w:rPr>
                <w:rFonts w:cstheme="minorHAnsi"/>
              </w:rPr>
              <w:t>Prin proiect se au în vedere  măsuri privind îmbunătățirea calității aerului  interior, prin reducerea concentrației de radon care provine, atât din soluri, cât și din materialele de construcție?</w:t>
            </w:r>
          </w:p>
        </w:tc>
      </w:tr>
      <w:tr w:rsidR="000E391D" w:rsidRPr="00D4690A" w14:paraId="78AEB2D4" w14:textId="77777777" w:rsidTr="000E391D">
        <w:tc>
          <w:tcPr>
            <w:tcW w:w="491" w:type="dxa"/>
          </w:tcPr>
          <w:p w14:paraId="7567DF82" w14:textId="5319D7B3" w:rsidR="000E391D" w:rsidRPr="00D4690A" w:rsidRDefault="000E391D" w:rsidP="000E391D">
            <w:pPr>
              <w:pStyle w:val="Bodytext10"/>
              <w:spacing w:after="100"/>
              <w:jc w:val="center"/>
              <w:rPr>
                <w:rFonts w:cstheme="minorHAnsi"/>
              </w:rPr>
            </w:pPr>
            <w:r>
              <w:rPr>
                <w:rFonts w:cstheme="minorHAnsi"/>
              </w:rPr>
              <w:t>6</w:t>
            </w:r>
          </w:p>
        </w:tc>
        <w:tc>
          <w:tcPr>
            <w:tcW w:w="3185" w:type="dxa"/>
          </w:tcPr>
          <w:p w14:paraId="2CF67789" w14:textId="77777777" w:rsidR="000E391D" w:rsidRPr="00D4690A" w:rsidRDefault="000E391D" w:rsidP="000E391D">
            <w:pPr>
              <w:pStyle w:val="Bodytext10"/>
              <w:spacing w:after="100"/>
              <w:jc w:val="both"/>
              <w:rPr>
                <w:rFonts w:cstheme="minorHAnsi"/>
              </w:rPr>
            </w:pPr>
            <w:r w:rsidRPr="00D4690A">
              <w:rPr>
                <w:rFonts w:cstheme="minorHAnsi"/>
              </w:rPr>
              <w:t>Au fost prevăzute măsuri privind protecția și refacerea biodiversității și a ecosistemelor, cu respectarea legislației in vigoare? (detaliere măsuri)</w:t>
            </w:r>
          </w:p>
        </w:tc>
        <w:tc>
          <w:tcPr>
            <w:tcW w:w="800" w:type="dxa"/>
          </w:tcPr>
          <w:p w14:paraId="06549F9C" w14:textId="77777777" w:rsidR="000E391D" w:rsidRPr="00D4690A" w:rsidRDefault="000E391D" w:rsidP="000E391D">
            <w:pPr>
              <w:pStyle w:val="Bodytext10"/>
              <w:spacing w:after="100"/>
              <w:jc w:val="both"/>
              <w:rPr>
                <w:rFonts w:cstheme="minorHAnsi"/>
              </w:rPr>
            </w:pPr>
          </w:p>
        </w:tc>
        <w:tc>
          <w:tcPr>
            <w:tcW w:w="4734" w:type="dxa"/>
          </w:tcPr>
          <w:p w14:paraId="65473AFC" w14:textId="41EA261F" w:rsidR="000E391D" w:rsidRPr="00D4690A" w:rsidRDefault="000E391D" w:rsidP="000E391D">
            <w:pPr>
              <w:pStyle w:val="Bodytext10"/>
              <w:spacing w:after="100"/>
              <w:jc w:val="both"/>
              <w:rPr>
                <w:rFonts w:cstheme="minorHAnsi"/>
              </w:rPr>
            </w:pPr>
            <w:r w:rsidRPr="00BE45CF">
              <w:rPr>
                <w:rFonts w:cstheme="minorHAnsi"/>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w:t>
            </w:r>
          </w:p>
        </w:tc>
      </w:tr>
    </w:tbl>
    <w:p w14:paraId="1BD43C67" w14:textId="77777777" w:rsidR="006D2475" w:rsidRDefault="006D2475">
      <w:pPr>
        <w:rPr>
          <w:color w:val="000000" w:themeColor="text1"/>
          <w:lang w:val="ro-RO"/>
        </w:rPr>
      </w:pPr>
    </w:p>
    <w:p w14:paraId="381DEEBF" w14:textId="77777777" w:rsidR="006D2475" w:rsidRDefault="006D2475">
      <w:pPr>
        <w:rPr>
          <w:color w:val="000000" w:themeColor="text1"/>
          <w:lang w:val="ro-RO"/>
        </w:rPr>
      </w:pPr>
    </w:p>
    <w:p w14:paraId="686221B4" w14:textId="77777777" w:rsidR="006D2475" w:rsidRDefault="006D2475">
      <w:pPr>
        <w:rPr>
          <w:color w:val="000000" w:themeColor="text1"/>
          <w:lang w:val="ro-RO"/>
        </w:rPr>
      </w:pPr>
    </w:p>
    <w:p w14:paraId="34A00E5B" w14:textId="77777777" w:rsidR="000B6FF3" w:rsidRDefault="000B6FF3">
      <w:pPr>
        <w:rPr>
          <w:color w:val="000000" w:themeColor="text1"/>
          <w:lang w:val="ro-RO"/>
        </w:rPr>
      </w:pPr>
    </w:p>
    <w:p w14:paraId="7B538B67" w14:textId="77777777" w:rsidR="000B6FF3" w:rsidRPr="00225D91" w:rsidRDefault="000B6FF3">
      <w:pPr>
        <w:rPr>
          <w:color w:val="000000" w:themeColor="text1"/>
          <w:lang w:val="ro-RO"/>
        </w:rPr>
      </w:pPr>
    </w:p>
    <w:sectPr w:rsidR="000B6FF3" w:rsidRPr="00225D91" w:rsidSect="003A1B30">
      <w:headerReference w:type="default" r:id="rId13"/>
      <w:footerReference w:type="default" r:id="rId14"/>
      <w:headerReference w:type="first" r:id="rId15"/>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25D8" w14:textId="77777777" w:rsidR="00A74D03" w:rsidRDefault="00A74D03">
      <w:pPr>
        <w:spacing w:after="0" w:line="240" w:lineRule="auto"/>
      </w:pPr>
      <w:r>
        <w:separator/>
      </w:r>
    </w:p>
  </w:endnote>
  <w:endnote w:type="continuationSeparator" w:id="0">
    <w:p w14:paraId="1FE2CF3E" w14:textId="77777777" w:rsidR="00A74D03" w:rsidRDefault="00A7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5"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7037"/>
      <w:docPartObj>
        <w:docPartGallery w:val="Page Numbers (Bottom of Page)"/>
        <w:docPartUnique/>
      </w:docPartObj>
    </w:sdtPr>
    <w:sdtEndPr>
      <w:rPr>
        <w:noProof/>
      </w:rPr>
    </w:sdtEndPr>
    <w:sdtContent>
      <w:p w14:paraId="205AC27B" w14:textId="77777777" w:rsidR="001E42E0" w:rsidRDefault="008536F8">
        <w:pPr>
          <w:pStyle w:val="Footer"/>
          <w:jc w:val="right"/>
        </w:pPr>
        <w:r>
          <w:fldChar w:fldCharType="begin"/>
        </w:r>
        <w:r>
          <w:instrText xml:space="preserve"> PAGE   \* MERGEFORMAT </w:instrText>
        </w:r>
        <w:r>
          <w:fldChar w:fldCharType="separate"/>
        </w:r>
        <w:r w:rsidR="009F6742">
          <w:rPr>
            <w:noProof/>
          </w:rPr>
          <w:t>12</w:t>
        </w:r>
        <w:r>
          <w:rPr>
            <w:noProof/>
          </w:rPr>
          <w:fldChar w:fldCharType="end"/>
        </w:r>
      </w:p>
    </w:sdtContent>
  </w:sdt>
  <w:p w14:paraId="54E3B8C8" w14:textId="77777777" w:rsidR="001E42E0" w:rsidRDefault="009F67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4777C" w14:textId="77777777" w:rsidR="00A74D03" w:rsidRDefault="00A74D03">
      <w:pPr>
        <w:spacing w:after="0" w:line="240" w:lineRule="auto"/>
      </w:pPr>
      <w:r>
        <w:separator/>
      </w:r>
    </w:p>
  </w:footnote>
  <w:footnote w:type="continuationSeparator" w:id="0">
    <w:p w14:paraId="6BB9637C" w14:textId="77777777" w:rsidR="00A74D03" w:rsidRDefault="00A74D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9895" w14:textId="77777777" w:rsidR="001E42E0"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1E42E0" w:rsidRDefault="009F6742" w:rsidP="0032717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D704C" w14:textId="77777777" w:rsidR="001E42E0"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5"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21050"/>
    <w:multiLevelType w:val="hybridMultilevel"/>
    <w:tmpl w:val="A2483ADE"/>
    <w:lvl w:ilvl="0" w:tplc="AC50F1E0">
      <w:start w:val="1"/>
      <w:numFmt w:val="decimal"/>
      <w:lvlText w:val="%1."/>
      <w:lvlJc w:val="left"/>
      <w:pPr>
        <w:ind w:left="72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4"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7"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4"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9"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4"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6"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9"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3"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3"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4"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7"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8"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5"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0"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2"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5"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6"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2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4"/>
  </w:num>
  <w:num w:numId="4">
    <w:abstractNumId w:val="81"/>
  </w:num>
  <w:num w:numId="5">
    <w:abstractNumId w:val="38"/>
  </w:num>
  <w:num w:numId="6">
    <w:abstractNumId w:val="16"/>
  </w:num>
  <w:num w:numId="7">
    <w:abstractNumId w:val="79"/>
  </w:num>
  <w:num w:numId="8">
    <w:abstractNumId w:val="44"/>
  </w:num>
  <w:num w:numId="9">
    <w:abstractNumId w:val="71"/>
  </w:num>
  <w:num w:numId="10">
    <w:abstractNumId w:val="82"/>
  </w:num>
  <w:num w:numId="11">
    <w:abstractNumId w:val="55"/>
  </w:num>
  <w:num w:numId="12">
    <w:abstractNumId w:val="9"/>
  </w:num>
  <w:num w:numId="13">
    <w:abstractNumId w:val="45"/>
  </w:num>
  <w:num w:numId="14">
    <w:abstractNumId w:val="24"/>
  </w:num>
  <w:num w:numId="15">
    <w:abstractNumId w:val="33"/>
  </w:num>
  <w:num w:numId="16">
    <w:abstractNumId w:val="23"/>
  </w:num>
  <w:num w:numId="17">
    <w:abstractNumId w:val="13"/>
  </w:num>
  <w:num w:numId="18">
    <w:abstractNumId w:val="48"/>
  </w:num>
  <w:num w:numId="19">
    <w:abstractNumId w:val="63"/>
  </w:num>
  <w:num w:numId="20">
    <w:abstractNumId w:val="56"/>
  </w:num>
  <w:num w:numId="21">
    <w:abstractNumId w:val="36"/>
  </w:num>
  <w:num w:numId="22">
    <w:abstractNumId w:val="61"/>
  </w:num>
  <w:num w:numId="23">
    <w:abstractNumId w:val="4"/>
  </w:num>
  <w:num w:numId="24">
    <w:abstractNumId w:val="47"/>
  </w:num>
  <w:num w:numId="25">
    <w:abstractNumId w:val="37"/>
  </w:num>
  <w:num w:numId="26">
    <w:abstractNumId w:val="18"/>
  </w:num>
  <w:num w:numId="27">
    <w:abstractNumId w:val="27"/>
  </w:num>
  <w:num w:numId="28">
    <w:abstractNumId w:val="19"/>
  </w:num>
  <w:num w:numId="29">
    <w:abstractNumId w:val="29"/>
  </w:num>
  <w:num w:numId="30">
    <w:abstractNumId w:val="5"/>
  </w:num>
  <w:num w:numId="31">
    <w:abstractNumId w:val="75"/>
  </w:num>
  <w:num w:numId="32">
    <w:abstractNumId w:val="69"/>
  </w:num>
  <w:num w:numId="33">
    <w:abstractNumId w:val="2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num>
  <w:num w:numId="36">
    <w:abstractNumId w:val="6"/>
  </w:num>
  <w:num w:numId="37">
    <w:abstractNumId w:val="54"/>
  </w:num>
  <w:num w:numId="38">
    <w:abstractNumId w:val="70"/>
  </w:num>
  <w:num w:numId="39">
    <w:abstractNumId w:val="66"/>
  </w:num>
  <w:num w:numId="40">
    <w:abstractNumId w:val="21"/>
  </w:num>
  <w:num w:numId="41">
    <w:abstractNumId w:val="49"/>
  </w:num>
  <w:num w:numId="42">
    <w:abstractNumId w:val="3"/>
  </w:num>
  <w:num w:numId="43">
    <w:abstractNumId w:val="26"/>
  </w:num>
  <w:num w:numId="44">
    <w:abstractNumId w:val="83"/>
  </w:num>
  <w:num w:numId="45">
    <w:abstractNumId w:val="74"/>
  </w:num>
  <w:num w:numId="46">
    <w:abstractNumId w:val="78"/>
  </w:num>
  <w:num w:numId="47">
    <w:abstractNumId w:val="64"/>
  </w:num>
  <w:num w:numId="48">
    <w:abstractNumId w:val="10"/>
  </w:num>
  <w:num w:numId="49">
    <w:abstractNumId w:val="53"/>
  </w:num>
  <w:num w:numId="50">
    <w:abstractNumId w:val="60"/>
  </w:num>
  <w:num w:numId="51">
    <w:abstractNumId w:val="35"/>
  </w:num>
  <w:num w:numId="52">
    <w:abstractNumId w:val="73"/>
  </w:num>
  <w:num w:numId="53">
    <w:abstractNumId w:val="28"/>
  </w:num>
  <w:num w:numId="54">
    <w:abstractNumId w:val="43"/>
  </w:num>
  <w:num w:numId="55">
    <w:abstractNumId w:val="34"/>
  </w:num>
  <w:num w:numId="56">
    <w:abstractNumId w:val="14"/>
  </w:num>
  <w:num w:numId="57">
    <w:abstractNumId w:val="39"/>
  </w:num>
  <w:num w:numId="58">
    <w:abstractNumId w:val="52"/>
  </w:num>
  <w:num w:numId="59">
    <w:abstractNumId w:val="65"/>
  </w:num>
  <w:num w:numId="60">
    <w:abstractNumId w:val="57"/>
  </w:num>
  <w:num w:numId="61">
    <w:abstractNumId w:val="51"/>
  </w:num>
  <w:num w:numId="62">
    <w:abstractNumId w:val="25"/>
  </w:num>
  <w:num w:numId="63">
    <w:abstractNumId w:val="8"/>
  </w:num>
  <w:num w:numId="64">
    <w:abstractNumId w:val="30"/>
  </w:num>
  <w:num w:numId="65">
    <w:abstractNumId w:val="72"/>
  </w:num>
  <w:num w:numId="66">
    <w:abstractNumId w:val="67"/>
  </w:num>
  <w:num w:numId="67">
    <w:abstractNumId w:val="85"/>
  </w:num>
  <w:num w:numId="68">
    <w:abstractNumId w:val="42"/>
  </w:num>
  <w:num w:numId="69">
    <w:abstractNumId w:val="62"/>
  </w:num>
  <w:num w:numId="70">
    <w:abstractNumId w:val="77"/>
  </w:num>
  <w:num w:numId="71">
    <w:abstractNumId w:val="2"/>
  </w:num>
  <w:num w:numId="72">
    <w:abstractNumId w:val="15"/>
  </w:num>
  <w:num w:numId="73">
    <w:abstractNumId w:val="31"/>
  </w:num>
  <w:num w:numId="74">
    <w:abstractNumId w:val="46"/>
  </w:num>
  <w:num w:numId="75">
    <w:abstractNumId w:val="76"/>
  </w:num>
  <w:num w:numId="76">
    <w:abstractNumId w:val="1"/>
  </w:num>
  <w:num w:numId="77">
    <w:abstractNumId w:val="7"/>
  </w:num>
  <w:num w:numId="78">
    <w:abstractNumId w:val="40"/>
  </w:num>
  <w:num w:numId="79">
    <w:abstractNumId w:val="41"/>
  </w:num>
  <w:num w:numId="80">
    <w:abstractNumId w:val="32"/>
  </w:num>
  <w:num w:numId="81">
    <w:abstractNumId w:val="11"/>
  </w:num>
  <w:num w:numId="82">
    <w:abstractNumId w:val="58"/>
  </w:num>
  <w:num w:numId="83">
    <w:abstractNumId w:val="17"/>
  </w:num>
  <w:num w:numId="84">
    <w:abstractNumId w:val="68"/>
  </w:num>
  <w:num w:numId="85">
    <w:abstractNumId w:val="86"/>
  </w:num>
  <w:num w:numId="86">
    <w:abstractNumId w:val="80"/>
  </w:num>
  <w:num w:numId="87">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30"/>
    <w:rsid w:val="0008357F"/>
    <w:rsid w:val="0009031C"/>
    <w:rsid w:val="000955B1"/>
    <w:rsid w:val="00096187"/>
    <w:rsid w:val="000A344D"/>
    <w:rsid w:val="000A7608"/>
    <w:rsid w:val="000B0D6D"/>
    <w:rsid w:val="000B6FF3"/>
    <w:rsid w:val="000C0151"/>
    <w:rsid w:val="000E391D"/>
    <w:rsid w:val="00101145"/>
    <w:rsid w:val="00101F10"/>
    <w:rsid w:val="001246D1"/>
    <w:rsid w:val="001407D5"/>
    <w:rsid w:val="00175679"/>
    <w:rsid w:val="00185C6E"/>
    <w:rsid w:val="001B1A70"/>
    <w:rsid w:val="001F4208"/>
    <w:rsid w:val="00225D91"/>
    <w:rsid w:val="00234595"/>
    <w:rsid w:val="00272F10"/>
    <w:rsid w:val="002846EC"/>
    <w:rsid w:val="0029118A"/>
    <w:rsid w:val="002A3BFD"/>
    <w:rsid w:val="002B082D"/>
    <w:rsid w:val="002B1C8A"/>
    <w:rsid w:val="002C3AF8"/>
    <w:rsid w:val="00304138"/>
    <w:rsid w:val="003052F6"/>
    <w:rsid w:val="00316119"/>
    <w:rsid w:val="00335386"/>
    <w:rsid w:val="00354324"/>
    <w:rsid w:val="0038595A"/>
    <w:rsid w:val="00394C67"/>
    <w:rsid w:val="003A1B30"/>
    <w:rsid w:val="003A6EDE"/>
    <w:rsid w:val="003E026E"/>
    <w:rsid w:val="00412795"/>
    <w:rsid w:val="00414DF9"/>
    <w:rsid w:val="00420888"/>
    <w:rsid w:val="004536F7"/>
    <w:rsid w:val="00460B9D"/>
    <w:rsid w:val="004818C5"/>
    <w:rsid w:val="004819BE"/>
    <w:rsid w:val="00482F11"/>
    <w:rsid w:val="00484FF8"/>
    <w:rsid w:val="00521DBC"/>
    <w:rsid w:val="00537E9C"/>
    <w:rsid w:val="00563469"/>
    <w:rsid w:val="00583E36"/>
    <w:rsid w:val="00586C2E"/>
    <w:rsid w:val="0058762D"/>
    <w:rsid w:val="0061764D"/>
    <w:rsid w:val="006642C6"/>
    <w:rsid w:val="0066461A"/>
    <w:rsid w:val="0066545E"/>
    <w:rsid w:val="0067277E"/>
    <w:rsid w:val="006752AD"/>
    <w:rsid w:val="00676689"/>
    <w:rsid w:val="00683683"/>
    <w:rsid w:val="006842AC"/>
    <w:rsid w:val="006D2475"/>
    <w:rsid w:val="0070176E"/>
    <w:rsid w:val="00716E02"/>
    <w:rsid w:val="007205C0"/>
    <w:rsid w:val="00771566"/>
    <w:rsid w:val="00772AE7"/>
    <w:rsid w:val="00792E90"/>
    <w:rsid w:val="007B33C2"/>
    <w:rsid w:val="007B6265"/>
    <w:rsid w:val="008536F8"/>
    <w:rsid w:val="00863C90"/>
    <w:rsid w:val="008817A5"/>
    <w:rsid w:val="008867D6"/>
    <w:rsid w:val="008878FA"/>
    <w:rsid w:val="008C469F"/>
    <w:rsid w:val="009163A5"/>
    <w:rsid w:val="00921B62"/>
    <w:rsid w:val="00944DFD"/>
    <w:rsid w:val="00956661"/>
    <w:rsid w:val="00963D7C"/>
    <w:rsid w:val="009B6614"/>
    <w:rsid w:val="009F6742"/>
    <w:rsid w:val="009F71F2"/>
    <w:rsid w:val="00A14711"/>
    <w:rsid w:val="00A24CA5"/>
    <w:rsid w:val="00A565B1"/>
    <w:rsid w:val="00A74D03"/>
    <w:rsid w:val="00A8232A"/>
    <w:rsid w:val="00AB44DA"/>
    <w:rsid w:val="00AB5F79"/>
    <w:rsid w:val="00AC0602"/>
    <w:rsid w:val="00AC2879"/>
    <w:rsid w:val="00AD4BE7"/>
    <w:rsid w:val="00AD6621"/>
    <w:rsid w:val="00B20233"/>
    <w:rsid w:val="00B34DB7"/>
    <w:rsid w:val="00B358B0"/>
    <w:rsid w:val="00B47820"/>
    <w:rsid w:val="00BA425B"/>
    <w:rsid w:val="00BE45CF"/>
    <w:rsid w:val="00BE7596"/>
    <w:rsid w:val="00BF1E2D"/>
    <w:rsid w:val="00C3207F"/>
    <w:rsid w:val="00C34BF1"/>
    <w:rsid w:val="00CA1EF3"/>
    <w:rsid w:val="00CE1034"/>
    <w:rsid w:val="00CE3F9D"/>
    <w:rsid w:val="00D145C0"/>
    <w:rsid w:val="00D200BA"/>
    <w:rsid w:val="00D361C7"/>
    <w:rsid w:val="00D4690A"/>
    <w:rsid w:val="00DB1E22"/>
    <w:rsid w:val="00E01A6A"/>
    <w:rsid w:val="00E02222"/>
    <w:rsid w:val="00E21723"/>
    <w:rsid w:val="00E307DF"/>
    <w:rsid w:val="00E449E1"/>
    <w:rsid w:val="00E4684F"/>
    <w:rsid w:val="00E73561"/>
    <w:rsid w:val="00E93B87"/>
    <w:rsid w:val="00EF4185"/>
    <w:rsid w:val="00F161E8"/>
    <w:rsid w:val="00F4031D"/>
    <w:rsid w:val="00FB124B"/>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6F8"/>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3A1B30"/>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3A1B30"/>
    <w:rPr>
      <w:sz w:val="20"/>
      <w:szCs w:val="20"/>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 w:type="table" w:styleId="TableGrid">
    <w:name w:val="Table Grid"/>
    <w:basedOn w:val="TableNormal"/>
    <w:uiPriority w:val="39"/>
    <w:rsid w:val="006D2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D2475"/>
    <w:pPr>
      <w:spacing w:before="110" w:line="240" w:lineRule="exact"/>
      <w:jc w:val="both"/>
    </w:pPr>
    <w:rPr>
      <w:vertAlign w:val="superscript"/>
      <w:lang w:val="ro-RO"/>
    </w:rPr>
  </w:style>
  <w:style w:type="character" w:customStyle="1" w:styleId="Bodytext1">
    <w:name w:val="Body text|1_"/>
    <w:basedOn w:val="DefaultParagraphFont"/>
    <w:link w:val="Bodytext10"/>
    <w:rsid w:val="00DB1E22"/>
  </w:style>
  <w:style w:type="paragraph" w:customStyle="1" w:styleId="Bodytext10">
    <w:name w:val="Body text|1"/>
    <w:basedOn w:val="Normal"/>
    <w:link w:val="Bodytext1"/>
    <w:rsid w:val="00DB1E22"/>
    <w:pPr>
      <w:widowControl w:val="0"/>
      <w:spacing w:after="8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Obiective</a:t>
          </a:r>
        </a:p>
        <a:p>
          <a:pPr lvl="0" algn="ctr" defTabSz="800100">
            <a:lnSpc>
              <a:spcPct val="90000"/>
            </a:lnSpc>
            <a:spcBef>
              <a:spcPct val="0"/>
            </a:spcBef>
            <a:spcAft>
              <a:spcPct val="35000"/>
            </a:spcAft>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4520</Words>
  <Characters>25767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Gabriel Burada</cp:lastModifiedBy>
  <cp:revision>23</cp:revision>
  <dcterms:created xsi:type="dcterms:W3CDTF">2023-02-28T11:46:00Z</dcterms:created>
  <dcterms:modified xsi:type="dcterms:W3CDTF">2023-06-16T09:32:00Z</dcterms:modified>
</cp:coreProperties>
</file>